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C3" w:rsidRPr="003D3859" w:rsidRDefault="006827C3" w:rsidP="006827C3">
      <w:pPr>
        <w:spacing w:before="0"/>
        <w:rPr>
          <w:b/>
          <w:bCs/>
          <w:color w:val="0000FF"/>
          <w:cs/>
        </w:rPr>
      </w:pPr>
      <w:r w:rsidRPr="003D3859">
        <w:rPr>
          <w:b/>
          <w:bCs/>
          <w:color w:val="0000FF"/>
        </w:rPr>
        <w:t xml:space="preserve">I-2 </w:t>
      </w:r>
      <w:r w:rsidRPr="003D3859">
        <w:rPr>
          <w:rFonts w:hint="cs"/>
          <w:b/>
          <w:bCs/>
          <w:color w:val="0000FF"/>
          <w:cs/>
        </w:rPr>
        <w:t xml:space="preserve">การบริหารเชิงกลยุทธ์ </w:t>
      </w: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662"/>
        <w:gridCol w:w="897"/>
        <w:gridCol w:w="441"/>
        <w:gridCol w:w="992"/>
        <w:gridCol w:w="1064"/>
        <w:gridCol w:w="1064"/>
        <w:gridCol w:w="1169"/>
        <w:gridCol w:w="1064"/>
      </w:tblGrid>
      <w:tr w:rsidR="006827C3" w:rsidRPr="00275068" w:rsidTr="00D35F5A">
        <w:trPr>
          <w:trHeight w:val="143"/>
        </w:trPr>
        <w:tc>
          <w:tcPr>
            <w:tcW w:w="10013" w:type="dxa"/>
            <w:gridSpan w:val="9"/>
          </w:tcPr>
          <w:p w:rsidR="006827C3" w:rsidRPr="00275068" w:rsidRDefault="006827C3" w:rsidP="00AF215F">
            <w:pPr>
              <w:spacing w:before="0"/>
              <w:rPr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275068">
              <w:rPr>
                <w:b/>
                <w:bCs/>
                <w:sz w:val="28"/>
                <w:szCs w:val="28"/>
              </w:rPr>
              <w:t xml:space="preserve"> </w:t>
            </w:r>
            <w:r w:rsidRPr="00275068">
              <w:rPr>
                <w:sz w:val="28"/>
                <w:szCs w:val="28"/>
                <w:cs/>
              </w:rPr>
              <w:t>สัมฤทธิผล  ประสิทธิภาพ วัฒนธรรมองค์กร  นำด้วยวิสัยทัศน์</w:t>
            </w:r>
          </w:p>
        </w:tc>
      </w:tr>
      <w:tr w:rsidR="00A20484" w:rsidRPr="00275068" w:rsidTr="008B3309">
        <w:trPr>
          <w:trHeight w:val="143"/>
        </w:trPr>
        <w:tc>
          <w:tcPr>
            <w:tcW w:w="3322" w:type="dxa"/>
            <w:gridSpan w:val="2"/>
          </w:tcPr>
          <w:p w:rsidR="00A20484" w:rsidRPr="003D3859" w:rsidRDefault="00A20484" w:rsidP="00AF215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338" w:type="dxa"/>
            <w:gridSpan w:val="2"/>
          </w:tcPr>
          <w:p w:rsidR="00A20484" w:rsidRPr="003D3859" w:rsidRDefault="00A20484" w:rsidP="00AF215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A20484" w:rsidRPr="003D3859" w:rsidRDefault="00A20484" w:rsidP="00CB322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</w:rPr>
              <w:t>2556</w:t>
            </w:r>
          </w:p>
        </w:tc>
        <w:tc>
          <w:tcPr>
            <w:tcW w:w="1064" w:type="dxa"/>
          </w:tcPr>
          <w:p w:rsidR="00A20484" w:rsidRPr="003D3859" w:rsidRDefault="00A20484" w:rsidP="00CB322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</w:rPr>
              <w:t>2557</w:t>
            </w:r>
          </w:p>
        </w:tc>
        <w:tc>
          <w:tcPr>
            <w:tcW w:w="1064" w:type="dxa"/>
          </w:tcPr>
          <w:p w:rsidR="00A20484" w:rsidRPr="003D3859" w:rsidRDefault="00A20484" w:rsidP="00CB322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</w:rPr>
              <w:t>2558</w:t>
            </w:r>
          </w:p>
        </w:tc>
        <w:tc>
          <w:tcPr>
            <w:tcW w:w="1169" w:type="dxa"/>
          </w:tcPr>
          <w:p w:rsidR="00A20484" w:rsidRPr="003D3859" w:rsidRDefault="00A20484" w:rsidP="00CB322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064" w:type="dxa"/>
          </w:tcPr>
          <w:p w:rsidR="00A20484" w:rsidRPr="003D3859" w:rsidRDefault="00A20484" w:rsidP="00AF215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A20484" w:rsidRPr="00275068" w:rsidTr="008B3309">
        <w:trPr>
          <w:trHeight w:val="143"/>
        </w:trPr>
        <w:tc>
          <w:tcPr>
            <w:tcW w:w="3322" w:type="dxa"/>
            <w:gridSpan w:val="2"/>
          </w:tcPr>
          <w:p w:rsidR="00A20484" w:rsidRPr="00275068" w:rsidRDefault="00A20484" w:rsidP="00AF215F">
            <w:pPr>
              <w:spacing w:before="0"/>
              <w:rPr>
                <w:sz w:val="28"/>
                <w:szCs w:val="28"/>
                <w:cs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ร้อยละการบรรลุตามกลยุทธ์และแผนปฏิบัติการ</w:t>
            </w:r>
          </w:p>
        </w:tc>
        <w:tc>
          <w:tcPr>
            <w:tcW w:w="1338" w:type="dxa"/>
            <w:gridSpan w:val="2"/>
            <w:vAlign w:val="center"/>
          </w:tcPr>
          <w:p w:rsidR="00A20484" w:rsidRPr="00275068" w:rsidRDefault="00A20484" w:rsidP="00AF215F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68">
              <w:rPr>
                <w:rFonts w:ascii="Times New Roman" w:hAnsi="Times New Roman" w:hint="cs"/>
                <w:sz w:val="28"/>
                <w:szCs w:val="28"/>
                <w:cs/>
              </w:rPr>
              <w:t xml:space="preserve"> </w:t>
            </w:r>
            <w:r w:rsidRPr="00275068">
              <w:rPr>
                <w:rFonts w:ascii="Times New Roman" w:hAnsi="Times New Roman"/>
                <w:sz w:val="28"/>
                <w:szCs w:val="28"/>
              </w:rPr>
              <w:t xml:space="preserve">&gt; </w:t>
            </w:r>
            <w:r w:rsidRPr="00275068">
              <w:rPr>
                <w:rFonts w:ascii="Times New Roman" w:hAnsi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93.10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93.18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 xml:space="preserve">96.58 </w:t>
            </w:r>
          </w:p>
        </w:tc>
        <w:tc>
          <w:tcPr>
            <w:tcW w:w="1169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59.59</w:t>
            </w:r>
          </w:p>
        </w:tc>
        <w:tc>
          <w:tcPr>
            <w:tcW w:w="1064" w:type="dxa"/>
            <w:vAlign w:val="center"/>
          </w:tcPr>
          <w:p w:rsidR="00A20484" w:rsidRPr="00275068" w:rsidRDefault="006E10FD" w:rsidP="00AF215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71.57</w:t>
            </w:r>
          </w:p>
        </w:tc>
      </w:tr>
      <w:tr w:rsidR="00A20484" w:rsidRPr="00275068" w:rsidTr="008B3309">
        <w:trPr>
          <w:trHeight w:val="143"/>
        </w:trPr>
        <w:tc>
          <w:tcPr>
            <w:tcW w:w="3322" w:type="dxa"/>
            <w:gridSpan w:val="2"/>
          </w:tcPr>
          <w:p w:rsidR="00A20484" w:rsidRPr="00275068" w:rsidRDefault="00A20484" w:rsidP="00AF215F">
            <w:pPr>
              <w:spacing w:before="0"/>
              <w:rPr>
                <w:sz w:val="28"/>
                <w:szCs w:val="28"/>
                <w:cs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ร้อยละการบรรลุตามกลยุทธ์และแผนปฏิบัติการ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>ยุทธศาสตร์ที่</w:t>
            </w:r>
            <w:r w:rsidRPr="0027506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38" w:type="dxa"/>
            <w:gridSpan w:val="2"/>
            <w:vAlign w:val="center"/>
          </w:tcPr>
          <w:p w:rsidR="00A20484" w:rsidRPr="00275068" w:rsidRDefault="00A20484" w:rsidP="00AF215F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rFonts w:ascii="Times New Roman" w:hAnsi="Times New Roman"/>
                <w:sz w:val="28"/>
                <w:szCs w:val="28"/>
              </w:rPr>
              <w:t xml:space="preserve">&gt; </w:t>
            </w:r>
            <w:r w:rsidRPr="00275068">
              <w:rPr>
                <w:rFonts w:ascii="Times New Roman" w:hAnsi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</w:pPr>
            <w:r w:rsidRPr="00275068">
              <w:rPr>
                <w:sz w:val="28"/>
                <w:szCs w:val="28"/>
              </w:rPr>
              <w:t>N/A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53.57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64.29</w:t>
            </w:r>
          </w:p>
        </w:tc>
        <w:tc>
          <w:tcPr>
            <w:tcW w:w="1169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59.09</w:t>
            </w:r>
          </w:p>
        </w:tc>
        <w:tc>
          <w:tcPr>
            <w:tcW w:w="1064" w:type="dxa"/>
            <w:vAlign w:val="center"/>
          </w:tcPr>
          <w:p w:rsidR="00A20484" w:rsidRPr="00275068" w:rsidRDefault="006E10FD" w:rsidP="00AF215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57.14</w:t>
            </w:r>
          </w:p>
        </w:tc>
      </w:tr>
      <w:tr w:rsidR="00A20484" w:rsidRPr="00275068" w:rsidTr="008B3309">
        <w:trPr>
          <w:trHeight w:val="143"/>
        </w:trPr>
        <w:tc>
          <w:tcPr>
            <w:tcW w:w="3322" w:type="dxa"/>
            <w:gridSpan w:val="2"/>
          </w:tcPr>
          <w:p w:rsidR="00A20484" w:rsidRPr="00275068" w:rsidRDefault="00A20484" w:rsidP="00AF215F">
            <w:pPr>
              <w:spacing w:before="0"/>
              <w:rPr>
                <w:sz w:val="28"/>
                <w:szCs w:val="28"/>
                <w:cs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ร้อยละการบรรลุตามกลยุทธ์และแผนปฏิบัติการ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>ยุทธศาสตร์ที่</w:t>
            </w:r>
            <w:r w:rsidRPr="0027506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38" w:type="dxa"/>
            <w:gridSpan w:val="2"/>
            <w:vAlign w:val="center"/>
          </w:tcPr>
          <w:p w:rsidR="00A20484" w:rsidRPr="00275068" w:rsidRDefault="00A20484" w:rsidP="00AF215F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68">
              <w:rPr>
                <w:rFonts w:ascii="Times New Roman" w:hAnsi="Times New Roman"/>
                <w:sz w:val="28"/>
                <w:szCs w:val="28"/>
              </w:rPr>
              <w:t xml:space="preserve">&gt; </w:t>
            </w:r>
            <w:r w:rsidRPr="00275068">
              <w:rPr>
                <w:rFonts w:ascii="Times New Roman" w:hAnsi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</w:pPr>
            <w:r w:rsidRPr="00275068">
              <w:rPr>
                <w:sz w:val="28"/>
                <w:szCs w:val="28"/>
              </w:rPr>
              <w:t>N/A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50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75</w:t>
            </w:r>
          </w:p>
        </w:tc>
        <w:tc>
          <w:tcPr>
            <w:tcW w:w="1169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52.63</w:t>
            </w:r>
          </w:p>
        </w:tc>
        <w:tc>
          <w:tcPr>
            <w:tcW w:w="1064" w:type="dxa"/>
            <w:vAlign w:val="center"/>
          </w:tcPr>
          <w:p w:rsidR="00A20484" w:rsidRPr="00275068" w:rsidRDefault="006E10FD" w:rsidP="00AF215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54.55</w:t>
            </w:r>
          </w:p>
        </w:tc>
      </w:tr>
      <w:tr w:rsidR="00A20484" w:rsidRPr="00275068" w:rsidTr="008B3309">
        <w:trPr>
          <w:trHeight w:val="143"/>
        </w:trPr>
        <w:tc>
          <w:tcPr>
            <w:tcW w:w="3322" w:type="dxa"/>
            <w:gridSpan w:val="2"/>
          </w:tcPr>
          <w:p w:rsidR="00A20484" w:rsidRPr="00275068" w:rsidRDefault="00A20484" w:rsidP="00AF215F">
            <w:pPr>
              <w:spacing w:before="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ร้อยละการบรรลุตามกลยุทธ์และแผนปฏิบัติการ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>ยุทธศาสตร์ที่</w:t>
            </w:r>
            <w:r w:rsidRPr="0027506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338" w:type="dxa"/>
            <w:gridSpan w:val="2"/>
            <w:vAlign w:val="center"/>
          </w:tcPr>
          <w:p w:rsidR="00A20484" w:rsidRPr="00275068" w:rsidRDefault="00A20484" w:rsidP="00AF215F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68">
              <w:rPr>
                <w:rFonts w:ascii="Times New Roman" w:hAnsi="Times New Roman"/>
                <w:sz w:val="28"/>
                <w:szCs w:val="28"/>
              </w:rPr>
              <w:t xml:space="preserve">&gt; </w:t>
            </w:r>
            <w:r w:rsidRPr="00275068">
              <w:rPr>
                <w:rFonts w:ascii="Times New Roman" w:hAnsi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</w:pPr>
            <w:r w:rsidRPr="00275068">
              <w:rPr>
                <w:sz w:val="28"/>
                <w:szCs w:val="28"/>
              </w:rPr>
              <w:t>N/A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33.34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66.67</w:t>
            </w:r>
          </w:p>
        </w:tc>
        <w:tc>
          <w:tcPr>
            <w:tcW w:w="1169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60</w:t>
            </w:r>
          </w:p>
        </w:tc>
        <w:tc>
          <w:tcPr>
            <w:tcW w:w="1064" w:type="dxa"/>
            <w:vAlign w:val="center"/>
          </w:tcPr>
          <w:p w:rsidR="00A20484" w:rsidRPr="00275068" w:rsidRDefault="006E10FD" w:rsidP="00AF215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20484" w:rsidRPr="00275068" w:rsidTr="008B3309">
        <w:trPr>
          <w:trHeight w:val="143"/>
        </w:trPr>
        <w:tc>
          <w:tcPr>
            <w:tcW w:w="3322" w:type="dxa"/>
            <w:gridSpan w:val="2"/>
          </w:tcPr>
          <w:p w:rsidR="00A20484" w:rsidRPr="00275068" w:rsidRDefault="00A20484" w:rsidP="00AF215F">
            <w:pPr>
              <w:spacing w:before="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ร้อยละการบรรลุตามกลยุทธ์และแผนปฏิบัติการ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>ยุทธศาสตร์ที่</w:t>
            </w:r>
            <w:r w:rsidRPr="0027506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38" w:type="dxa"/>
            <w:gridSpan w:val="2"/>
            <w:vAlign w:val="center"/>
          </w:tcPr>
          <w:p w:rsidR="00A20484" w:rsidRPr="00275068" w:rsidRDefault="00A20484" w:rsidP="00AF215F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rFonts w:ascii="Times New Roman" w:hAnsi="Times New Roman"/>
                <w:sz w:val="28"/>
                <w:szCs w:val="28"/>
              </w:rPr>
              <w:t xml:space="preserve">&gt; </w:t>
            </w:r>
            <w:r w:rsidRPr="00275068">
              <w:rPr>
                <w:rFonts w:ascii="Times New Roman" w:hAnsi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</w:pPr>
            <w:r w:rsidRPr="00275068">
              <w:rPr>
                <w:sz w:val="28"/>
                <w:szCs w:val="28"/>
              </w:rPr>
              <w:t>N/A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63.64</w:t>
            </w:r>
          </w:p>
        </w:tc>
        <w:tc>
          <w:tcPr>
            <w:tcW w:w="1064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64.29</w:t>
            </w:r>
          </w:p>
        </w:tc>
        <w:tc>
          <w:tcPr>
            <w:tcW w:w="1169" w:type="dxa"/>
            <w:vAlign w:val="center"/>
          </w:tcPr>
          <w:p w:rsidR="00A20484" w:rsidRPr="00275068" w:rsidRDefault="00A20484" w:rsidP="00CB3223">
            <w:pPr>
              <w:spacing w:before="0"/>
              <w:jc w:val="center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</w:rPr>
              <w:t>66.66</w:t>
            </w:r>
          </w:p>
        </w:tc>
        <w:tc>
          <w:tcPr>
            <w:tcW w:w="1064" w:type="dxa"/>
            <w:vAlign w:val="center"/>
          </w:tcPr>
          <w:p w:rsidR="00A20484" w:rsidRPr="00275068" w:rsidRDefault="006E10FD" w:rsidP="00AF215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84.62</w:t>
            </w:r>
          </w:p>
        </w:tc>
      </w:tr>
      <w:tr w:rsidR="006827C3" w:rsidRPr="00275068" w:rsidTr="00D35F5A">
        <w:trPr>
          <w:trHeight w:val="143"/>
        </w:trPr>
        <w:tc>
          <w:tcPr>
            <w:tcW w:w="10013" w:type="dxa"/>
            <w:gridSpan w:val="9"/>
            <w:tcBorders>
              <w:bottom w:val="single" w:sz="4" w:space="0" w:color="000000"/>
            </w:tcBorders>
          </w:tcPr>
          <w:p w:rsidR="006827C3" w:rsidRPr="00275068" w:rsidRDefault="006827C3" w:rsidP="00AF215F">
            <w:pPr>
              <w:spacing w:before="0"/>
              <w:rPr>
                <w:sz w:val="28"/>
                <w:szCs w:val="28"/>
                <w:cs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275068">
              <w:rPr>
                <w:b/>
                <w:bCs/>
                <w:sz w:val="28"/>
                <w:szCs w:val="28"/>
              </w:rPr>
              <w:t xml:space="preserve"> </w:t>
            </w:r>
            <w:r w:rsidRPr="00275068">
              <w:rPr>
                <w:sz w:val="28"/>
                <w:szCs w:val="28"/>
                <w:cs/>
              </w:rPr>
              <w:t xml:space="preserve">โรงพยาบาลมีการจัดทำแผนงานโดยแต่งตั้งคณะทำงาน ประกอบด้วยทีมสหสาขาวิชาชีพ หัวหน้ากลุ่มงาน หัวหน้างาน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คณะกรรมการ คปสอ. </w:t>
            </w:r>
            <w:r w:rsidRPr="00275068">
              <w:rPr>
                <w:sz w:val="28"/>
                <w:szCs w:val="28"/>
                <w:cs/>
              </w:rPr>
              <w:t>มีหน้าที่ในการจัดทำแผนยุทธศาสตร์ สื่อสารแผนสู่การปฏิบัติให้ทีมนำและหัวหน้ากลุ่มงาน นำไปจัดทำแผนปฏิบัติการ ออกแบบโครงสร้างในการบริหารจัดการ เพื่อให้ได้ผลงานตามแผน ออกแบบการควบคุมติดตามกำกับและประเมินผล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ความท้าทายเชิงกลยุทธ์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3D3859">
              <w:rPr>
                <w:color w:val="0000FF"/>
                <w:sz w:val="28"/>
                <w:szCs w:val="28"/>
                <w:cs/>
              </w:rPr>
              <w:t xml:space="preserve"> 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การส่งเสริมสุขภาพประชากรในการป้องกันโรคเบาหวาน ความดันโลหิตสูง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การพัฒนาการดูแลผู้ป่วยเบาหวาน ความดันโลหิตสูง แบบครบวงจร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การพัฒนาความเข้มแข็งของภาคีเครือข่ายในการดูแลผู้ป่วยโรคเบาหวาน ความดันโลหิตสูง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การพัฒนาศักยภาพของทีมดูแลผู้ป่วยโรคเรื้อรังในชุมชน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การส่งเสริมทันตสุขภาพ</w:t>
            </w:r>
            <w:r w:rsidRPr="00275068">
              <w:rPr>
                <w:rFonts w:hint="cs"/>
                <w:sz w:val="28"/>
                <w:szCs w:val="28"/>
                <w:cs/>
              </w:rPr>
              <w:t>ของเด็กปฐมวัยใน</w:t>
            </w:r>
            <w:r w:rsidRPr="00275068">
              <w:rPr>
                <w:sz w:val="28"/>
                <w:szCs w:val="28"/>
                <w:cs/>
              </w:rPr>
              <w:t>ศูนย์พัฒนาเด็กเล็ก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40"/>
              </w:numPr>
              <w:spacing w:before="0"/>
              <w:rPr>
                <w:sz w:val="28"/>
                <w:szCs w:val="28"/>
                <w:cs/>
              </w:rPr>
            </w:pPr>
            <w:r w:rsidRPr="00275068">
              <w:rPr>
                <w:sz w:val="28"/>
                <w:szCs w:val="28"/>
                <w:cs/>
              </w:rPr>
              <w:t>การควบคุมการระบาดของโรคไข้เลือดออก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ข้อได้เปรียบเชิงกลยุทธ์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ระบบการนำที่มีประสิทธิภาพ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ระบบบริหารจัดการด้านการเงิน การคลัง ด้านข้อมูลสารสนเทศที่มีประสิทธิภาพ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การได้รับการสนับสนุนที่ดีจากภาคีเครือข่ายในชุมชน</w:t>
            </w:r>
          </w:p>
          <w:p w:rsidR="006827C3" w:rsidRPr="00275068" w:rsidRDefault="006827C3" w:rsidP="006827C3">
            <w:pPr>
              <w:pStyle w:val="a6"/>
              <w:numPr>
                <w:ilvl w:val="0"/>
                <w:numId w:val="3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มีการบริหารจัดการอุปกรณ์เครื่องมือที่เหมาะสม เพียงพอและพร้อมใช้งาน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ปัจจัยความสำเร็จที่สำคัญ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827C3" w:rsidRPr="00275068" w:rsidRDefault="006827C3" w:rsidP="006827C3">
            <w:pPr>
              <w:numPr>
                <w:ilvl w:val="0"/>
                <w:numId w:val="38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การทำงานเป็นทีม</w:t>
            </w:r>
          </w:p>
          <w:p w:rsidR="006827C3" w:rsidRPr="00275068" w:rsidRDefault="006827C3" w:rsidP="006827C3">
            <w:pPr>
              <w:numPr>
                <w:ilvl w:val="0"/>
                <w:numId w:val="38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การมีส่วนร่วมของของภาคีเครือข่าย</w:t>
            </w:r>
          </w:p>
          <w:p w:rsidR="006827C3" w:rsidRPr="00275068" w:rsidRDefault="006827C3" w:rsidP="006827C3">
            <w:pPr>
              <w:numPr>
                <w:ilvl w:val="0"/>
                <w:numId w:val="38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การให้การสนับสนุนจากผู้บริหาร</w:t>
            </w:r>
          </w:p>
          <w:p w:rsidR="006827C3" w:rsidRPr="00275068" w:rsidRDefault="006827C3" w:rsidP="006827C3">
            <w:pPr>
              <w:numPr>
                <w:ilvl w:val="0"/>
                <w:numId w:val="38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การนำของผู้บริหารทุกระดับ</w:t>
            </w:r>
          </w:p>
          <w:p w:rsidR="006827C3" w:rsidRPr="00275068" w:rsidRDefault="006827C3" w:rsidP="006827C3">
            <w:pPr>
              <w:numPr>
                <w:ilvl w:val="0"/>
                <w:numId w:val="38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การมีงบประมาณและเครื่องมือที่เพียงพอ พร้อมใช้</w:t>
            </w:r>
          </w:p>
          <w:p w:rsidR="008B3309" w:rsidRDefault="008B3309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กระบวนการ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กระบวนการจัดทำกลยุทธ์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บทเรียนเกี่ยวกับกระบวนการจัดทำกลยุทธ์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  <w:cs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 xml:space="preserve">กระบวนการจัดทำแผนกลยุทธ์ของโรงพยาบาลพบว่า ไม่ครอบคลุมและสอดคล้องกับเป้าหมายขององค์กร จึงได้มีการแต่งตั้งคณะกรรมการในการจัดทำแผนของโรงพยาบาลโดยประกอบด้วย หัวหน้าฝ่าย หัวหน้ากลุ่มงาน หัวหน้าหน่วยงาน ตัวแทนสหสาขาวิชาชีพ จัดทำแผนยุทธศาสตร์ของโรงพยาบาล ตามกระบวนการที่ได้จากการเรียนรู้ ได้ยุทธศาสตร์       4 ประเด็น ได้แก่ พัฒนาระบบบริการ  พัฒนาส่งเสริมสุขภาพและควบคุมป้องกันโรคในโรงพยาบาลและเครือข่ายบริการ   การบริหารทุนมนุษย์และการจัดการความรู้  และพัฒนาระบบสนับสนุนบริการและระบบสารสนเทศ และส่งคณะกรรมการไปอบรมที่มหาวิทยาลัยขอนแก่นในหลักสูตรการขับเคลื่อนกลยุทธ์องค์กรด้วยเครื่องมือ </w:t>
            </w:r>
            <w:r w:rsidRPr="00275068">
              <w:rPr>
                <w:sz w:val="28"/>
                <w:szCs w:val="28"/>
              </w:rPr>
              <w:t xml:space="preserve">Balanced Score Card </w:t>
            </w:r>
            <w:r w:rsidRPr="00275068">
              <w:rPr>
                <w:rFonts w:hint="cs"/>
                <w:sz w:val="28"/>
                <w:szCs w:val="28"/>
                <w:cs/>
              </w:rPr>
              <w:t>สำหรับหน่วยงานภาครัฐ และนำความรู้ที่ได้มาถ่ายทอดแก่คณะกรรมการจัดทำแผน รวมถึงกำหนดรอบระยะเวลาในการจัดทำแผน ปี 2560 และดำเนินการ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บทเรียนเกี่ยวกับการวิเคราะห์ข้อมูลและปัจจัยสำคัญที่มีผลต่อการกำหนดกลยุทธ์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การวิเคราะห์ข้อมูลและปัจจัยสำคัญ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คณะกรรมการจัดทำแผนได้มอบหมายให้หัวหน้าฝ่าย หัวหน้ากลุ่มงาน หัวหน้างาน ให้ดำเนินการวิเคราะห์โดยการทำ </w:t>
            </w:r>
            <w:r w:rsidRPr="00275068">
              <w:rPr>
                <w:sz w:val="28"/>
                <w:szCs w:val="28"/>
              </w:rPr>
              <w:t xml:space="preserve">SWOT Analysis </w:t>
            </w:r>
            <w:r w:rsidRPr="00275068">
              <w:rPr>
                <w:rFonts w:hint="cs"/>
                <w:sz w:val="28"/>
                <w:szCs w:val="28"/>
                <w:cs/>
              </w:rPr>
              <w:t>ในหน่วยงาน และนำผลการวิเคราะห์มานำเสนอให้แก่คณะกรรมการจัดทำแผนและร่วมกันวิเคราะห์ในภาพรวมขององค์กร และผลการวิเคราะห์ภาพรวมขององค์กรมากำหนดยุทธศาสตร์และเป้าประสงค์ขององค์กรแล้วแบ่งกลุ่มคณะกรรมการในการนำยุทธศาสตร์และเป้าประสงค์ไปกำหนดเป็นกลยุทธ์ เพื่อกำหนดแผนงาน หรือกิจกรรม เพื่อให้ตอบสนองเป้าประสงค์ที่กำหนด ดังนี้</w:t>
            </w:r>
          </w:p>
          <w:p w:rsidR="006827C3" w:rsidRPr="00275068" w:rsidRDefault="006827C3" w:rsidP="00AF215F">
            <w:pPr>
              <w:pStyle w:val="aa"/>
              <w:ind w:left="270" w:firstLine="0"/>
              <w:rPr>
                <w:sz w:val="28"/>
                <w:szCs w:val="28"/>
                <w:u w:val="single"/>
              </w:rPr>
            </w:pPr>
            <w:r w:rsidRPr="00275068">
              <w:rPr>
                <w:sz w:val="28"/>
                <w:szCs w:val="28"/>
                <w:u w:val="single"/>
                <w:cs/>
              </w:rPr>
              <w:t>จุดอ่อน (</w:t>
            </w:r>
            <w:r w:rsidRPr="00275068">
              <w:rPr>
                <w:sz w:val="28"/>
                <w:szCs w:val="28"/>
                <w:u w:val="single"/>
              </w:rPr>
              <w:t>Weakness</w:t>
            </w:r>
            <w:r w:rsidRPr="00275068">
              <w:rPr>
                <w:sz w:val="28"/>
                <w:szCs w:val="28"/>
                <w:u w:val="single"/>
                <w:cs/>
              </w:rPr>
              <w:t>)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การจัดซื้อ จัดจ้างพัสดุล่าช้า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ระบบสารสนเทศรองรับการให้บริการ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ห้องแยกโรคไม่ผ่านเกณฑ์มาตรฐาน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ระบบการดูแลผู้ป่วยต่อเนื่อง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ระบบการดูแลผู้ป่วยโรคเรื้อรัง</w:t>
            </w:r>
          </w:p>
          <w:p w:rsidR="006827C3" w:rsidRPr="00275068" w:rsidRDefault="006827C3" w:rsidP="00AF215F">
            <w:pPr>
              <w:pStyle w:val="aa"/>
              <w:ind w:left="270" w:firstLine="0"/>
              <w:rPr>
                <w:sz w:val="28"/>
                <w:szCs w:val="28"/>
                <w:u w:val="single"/>
              </w:rPr>
            </w:pPr>
            <w:r w:rsidRPr="00275068">
              <w:rPr>
                <w:sz w:val="28"/>
                <w:szCs w:val="28"/>
                <w:u w:val="single"/>
                <w:cs/>
              </w:rPr>
              <w:t>จุดแข็ง (</w:t>
            </w:r>
            <w:r w:rsidRPr="00275068">
              <w:rPr>
                <w:sz w:val="28"/>
                <w:szCs w:val="28"/>
                <w:u w:val="single"/>
              </w:rPr>
              <w:t>Strength</w:t>
            </w:r>
            <w:r w:rsidRPr="00275068">
              <w:rPr>
                <w:sz w:val="28"/>
                <w:szCs w:val="28"/>
                <w:u w:val="single"/>
                <w:cs/>
              </w:rPr>
              <w:t xml:space="preserve">) 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มีงบประมาณสนับสนุนที่เพียงพอ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ผู้บริหารงานให้ความสำคัญและสนับสนุนการปฏิบัติงาน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ผู้อำนวยการมีความมุ่งมั่นชัดเจน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การพัฒนาบุคลากรอย่างต่อเนื่อง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มีแผนงานที่ชัดเจน ครบถ้วน</w:t>
            </w:r>
          </w:p>
          <w:p w:rsidR="006827C3" w:rsidRPr="00275068" w:rsidRDefault="006827C3" w:rsidP="00AF215F">
            <w:pPr>
              <w:pStyle w:val="aa"/>
              <w:ind w:left="270" w:firstLine="0"/>
              <w:rPr>
                <w:sz w:val="28"/>
                <w:szCs w:val="28"/>
                <w:u w:val="single"/>
              </w:rPr>
            </w:pPr>
            <w:r w:rsidRPr="00275068">
              <w:rPr>
                <w:sz w:val="28"/>
                <w:szCs w:val="28"/>
                <w:u w:val="single"/>
                <w:cs/>
              </w:rPr>
              <w:t>โอกาส (</w:t>
            </w:r>
            <w:r w:rsidRPr="00275068">
              <w:rPr>
                <w:sz w:val="28"/>
                <w:szCs w:val="28"/>
                <w:u w:val="single"/>
              </w:rPr>
              <w:t>Opportunity</w:t>
            </w:r>
            <w:r w:rsidRPr="00275068">
              <w:rPr>
                <w:sz w:val="28"/>
                <w:szCs w:val="28"/>
                <w:u w:val="single"/>
                <w:cs/>
              </w:rPr>
              <w:t>)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การเปลี่ยนแปลงอย่างรวดเร็วของเทคโนโลยีการสื่อสาร ความก้าวหน้าของระบบสารสนเทศ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การสื่อสารทางสังคมมีการเปลี่ยนแปลง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ประชากรส่วนใหญ่เป็นวัยทำงาน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 xml:space="preserve">พัฒนาระบบ </w:t>
            </w:r>
            <w:r w:rsidRPr="00275068">
              <w:rPr>
                <w:sz w:val="28"/>
                <w:szCs w:val="28"/>
              </w:rPr>
              <w:t>E-Claim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ความหลากหลายทางด้านวิทยาการและเทคโนโลยีทางการแพทย์</w:t>
            </w:r>
          </w:p>
          <w:p w:rsidR="008B3309" w:rsidRDefault="008B3309" w:rsidP="00AF215F">
            <w:pPr>
              <w:pStyle w:val="aa"/>
              <w:ind w:left="270" w:firstLine="0"/>
              <w:rPr>
                <w:sz w:val="28"/>
                <w:szCs w:val="28"/>
                <w:u w:val="single"/>
              </w:rPr>
            </w:pPr>
          </w:p>
          <w:p w:rsidR="006827C3" w:rsidRPr="00275068" w:rsidRDefault="006827C3" w:rsidP="00AF215F">
            <w:pPr>
              <w:pStyle w:val="aa"/>
              <w:ind w:left="270" w:firstLine="0"/>
              <w:rPr>
                <w:sz w:val="28"/>
                <w:szCs w:val="28"/>
                <w:u w:val="single"/>
              </w:rPr>
            </w:pPr>
            <w:r w:rsidRPr="00275068">
              <w:rPr>
                <w:sz w:val="28"/>
                <w:szCs w:val="28"/>
                <w:u w:val="single"/>
                <w:cs/>
              </w:rPr>
              <w:lastRenderedPageBreak/>
              <w:t>อุปสรรค (</w:t>
            </w:r>
            <w:r w:rsidRPr="00275068">
              <w:rPr>
                <w:sz w:val="28"/>
                <w:szCs w:val="28"/>
                <w:u w:val="single"/>
              </w:rPr>
              <w:t>Threat</w:t>
            </w:r>
            <w:r w:rsidRPr="00275068">
              <w:rPr>
                <w:sz w:val="28"/>
                <w:szCs w:val="28"/>
                <w:u w:val="single"/>
                <w:cs/>
              </w:rPr>
              <w:t>)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พฤติกรรมของประชาชนที่มีผลกระทบต่อปัญหาในการดูแลสุขภาพ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ประชาชนมีความคาดหวังในบริการสูง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สภาพครอบครัวเดี่ยวทำให้ผู้ป่วยขาดการดูแล สังคมผู้สูงอายุ ผู้พิการ ผู้พึ่งพิงมากขึ้น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ระบบการรองรับข้อมูลที่มีประสิทธิภาพไม่ดีพอ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นโยบายแก้ปัญหายาเสพติดเป็นวาระแห่งชาติ</w:t>
            </w:r>
            <w:r w:rsidRPr="00275068">
              <w:rPr>
                <w:sz w:val="28"/>
                <w:szCs w:val="28"/>
                <w:cs/>
              </w:rPr>
              <w:t xml:space="preserve">  </w:t>
            </w:r>
          </w:p>
          <w:p w:rsidR="008B3309" w:rsidRDefault="008B3309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วัตถุประสงค์เชิงกลยุทธ์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tbl>
            <w:tblPr>
              <w:tblW w:w="96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57"/>
              <w:gridCol w:w="2195"/>
              <w:gridCol w:w="2342"/>
              <w:gridCol w:w="2537"/>
            </w:tblGrid>
            <w:tr w:rsidR="006827C3" w:rsidRPr="00275068" w:rsidTr="00322901">
              <w:trPr>
                <w:trHeight w:val="336"/>
                <w:tblHeader/>
              </w:trPr>
              <w:tc>
                <w:tcPr>
                  <w:tcW w:w="2557" w:type="dxa"/>
                  <w:vAlign w:val="center"/>
                </w:tcPr>
                <w:p w:rsidR="006827C3" w:rsidRPr="003D3859" w:rsidRDefault="006827C3" w:rsidP="00AF215F">
                  <w:pPr>
                    <w:spacing w:before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D3859"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ความท้าท้าย</w:t>
                  </w:r>
                </w:p>
              </w:tc>
              <w:tc>
                <w:tcPr>
                  <w:tcW w:w="2195" w:type="dxa"/>
                  <w:vAlign w:val="center"/>
                </w:tcPr>
                <w:p w:rsidR="006827C3" w:rsidRPr="003D3859" w:rsidRDefault="006827C3" w:rsidP="00AF215F">
                  <w:pPr>
                    <w:spacing w:before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D3859"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342" w:type="dxa"/>
                  <w:vAlign w:val="center"/>
                </w:tcPr>
                <w:p w:rsidR="006827C3" w:rsidRPr="003D3859" w:rsidRDefault="006827C3" w:rsidP="00AF215F">
                  <w:pPr>
                    <w:spacing w:before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D3859"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  <w:t>เป้าหมายและกรอบเวลา</w:t>
                  </w:r>
                </w:p>
              </w:tc>
              <w:tc>
                <w:tcPr>
                  <w:tcW w:w="2537" w:type="dxa"/>
                  <w:vAlign w:val="center"/>
                </w:tcPr>
                <w:p w:rsidR="006827C3" w:rsidRPr="003D3859" w:rsidRDefault="006827C3" w:rsidP="00AF215F">
                  <w:pPr>
                    <w:spacing w:before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D3859"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ตัวชี้วัดที่ใช้ติดตาม</w:t>
                  </w:r>
                </w:p>
              </w:tc>
            </w:tr>
            <w:tr w:rsidR="006827C3" w:rsidRPr="00275068" w:rsidTr="00322901">
              <w:trPr>
                <w:trHeight w:val="1856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 xml:space="preserve">1. </w:t>
                  </w:r>
                  <w:r w:rsidRPr="00275068">
                    <w:rPr>
                      <w:sz w:val="28"/>
                      <w:szCs w:val="28"/>
                      <w:cs/>
                    </w:rPr>
                    <w:t>การคัดกรองประชากรกลุ่มอายุมากกว่า 35 ปี กลุ่มที่มีภาวะโภชนาการเกิน กลุ่มที่มีความเสี่ยงทางด้านพันธุกรรมให้ครอบคลุมทุกพื้นที่</w:t>
                  </w: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- เพื่อค้นหาประชากรกลุ่มเสี่ยงต่อการเกิดโรคเบาหวาน ความดันโลหิตสูง</w:t>
                  </w:r>
                  <w:r w:rsidRPr="0027506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 xml:space="preserve">ประชากรกลุ่มอายุ </w:t>
                  </w:r>
                  <w:r w:rsidRPr="00275068">
                    <w:rPr>
                      <w:rFonts w:hint="cs"/>
                      <w:sz w:val="28"/>
                      <w:szCs w:val="28"/>
                    </w:rPr>
                    <w:sym w:font="Symbol" w:char="F0B3"/>
                  </w: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 xml:space="preserve"> 35 ปี ในเขตอำเภอหนองบุญมาก (ต.ค.59-เม.ย.60)</w:t>
                  </w: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1. ร้อยละความครอบคลุมในการคัดกรองประชากรกลุ่มเป้าหมายที่กำหนด</w:t>
                  </w:r>
                </w:p>
                <w:p w:rsidR="006827C3" w:rsidRPr="00275068" w:rsidRDefault="006827C3" w:rsidP="00AF215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827C3" w:rsidRPr="00275068" w:rsidTr="00322901">
              <w:trPr>
                <w:trHeight w:val="1516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2. การปรับเปลี่ยนพฤติกรรมประชากรกลุ่มเสี่ยงต่อการเกิดโรคเบาหวาน ความดันโลหิตสูง</w:t>
                  </w: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- เพื่อป้องกันไม่ให้ประชากรกลุ่มเสี่ยงเกิดโรคเบาหวาน ความดันโลหิตสูง</w:t>
                  </w: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ประชากรกลุ่มเสี่ยงที่คัดกรองได้</w:t>
                  </w: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1. อัตราการเกิ</w:t>
                  </w: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ด</w:t>
                  </w:r>
                  <w:r w:rsidRPr="00275068">
                    <w:rPr>
                      <w:sz w:val="28"/>
                      <w:szCs w:val="28"/>
                      <w:cs/>
                    </w:rPr>
                    <w:t>โรคเบาหวาน ความดันโลหิตสูง รายใหม่ในประชากรกลุ่มเสี่ยง</w:t>
                  </w:r>
                </w:p>
              </w:tc>
            </w:tr>
            <w:tr w:rsidR="006827C3" w:rsidRPr="00275068" w:rsidTr="00322901">
              <w:trPr>
                <w:trHeight w:val="2678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3. การพัฒนาการดูแลผู้ป่วยเบาหวาน และความดันโลหิตสูงแบบครบวงจร</w:t>
                  </w: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- เพื่อให้ผู้ป่วยเบาหวาน ความดันโลหิตสูง เข้าถึงบริการได้ครอบคลุม</w:t>
                  </w:r>
                </w:p>
                <w:p w:rsidR="006827C3" w:rsidRPr="00275068" w:rsidRDefault="006827C3" w:rsidP="00AF215F">
                  <w:pPr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 xml:space="preserve">- </w:t>
                  </w:r>
                  <w:r w:rsidRPr="00275068">
                    <w:rPr>
                      <w:sz w:val="28"/>
                      <w:szCs w:val="28"/>
                      <w:cs/>
                    </w:rPr>
                    <w:t>เพื่อป้องกันและรักษาการเกิดภาวะแทรกซ้อน</w:t>
                  </w: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 xml:space="preserve"> ผู้ป่วยโรคเบาหวาน และความดันโลหิตสูง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(ต.ค.59-ส.ค.60)</w:t>
                  </w: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1. อัตราผู้ป่วยเบาหวาน ความดันโลหิตสูง</w:t>
                  </w:r>
                  <w:r w:rsidRPr="00275068">
                    <w:rPr>
                      <w:sz w:val="28"/>
                      <w:szCs w:val="28"/>
                    </w:rPr>
                    <w:t xml:space="preserve"> </w:t>
                  </w:r>
                  <w:r w:rsidRPr="00275068">
                    <w:rPr>
                      <w:sz w:val="28"/>
                      <w:szCs w:val="28"/>
                      <w:cs/>
                    </w:rPr>
                    <w:t>รายใหม่ลดลง</w:t>
                  </w:r>
                </w:p>
                <w:p w:rsidR="006827C3" w:rsidRPr="00275068" w:rsidRDefault="006827C3" w:rsidP="00AF215F">
                  <w:pPr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2. อัตราการเกิดภาวะแทรกซ้อนของผู้ป่วยเบาหวาน ความดันโลหิตสูงลดลง</w:t>
                  </w:r>
                </w:p>
              </w:tc>
            </w:tr>
            <w:tr w:rsidR="006827C3" w:rsidRPr="00275068" w:rsidTr="00322901">
              <w:trPr>
                <w:trHeight w:val="454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4. พัฒนาความเข้มแข็งของเครือข่ายในการดูแลผู้ป่วยโรคเบาหวาน ความดันโลหิตสูง</w:t>
                  </w: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 xml:space="preserve">- เพื่อให้เจ้าหน้าที่ </w:t>
                  </w: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 xml:space="preserve">     </w:t>
                  </w:r>
                  <w:r w:rsidRPr="00275068">
                    <w:rPr>
                      <w:sz w:val="28"/>
                      <w:szCs w:val="28"/>
                      <w:cs/>
                    </w:rPr>
                    <w:t>รพ.สต. สามารถดูแลผู้ป่วยโรคเบาหวาน ความดันโลหิตสูง ได้ถูกต้อง และส่งต่อมารักษาอย่างเหมาะสม</w:t>
                  </w: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เจ้าหน้าที่ รพ.สต. 11 แห่ง ที่รับผิดชอบดูแลผู้ป่วยกลุ่มโรคเบาหวานและความดันโลหิตสูง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(ส.ค.60)</w:t>
                  </w: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 xml:space="preserve">1. ผลการประเมินสมรรถนะเชิงวิชาชีพในการดูแลผู้ป่วยกลุ่มโรคเบาหวาน ความดันโลหิตสูง ผ่านเกณฑ์การประเมิน </w:t>
                  </w:r>
                  <w:r w:rsidRPr="00275068">
                    <w:rPr>
                      <w:sz w:val="28"/>
                      <w:szCs w:val="28"/>
                    </w:rPr>
                    <w:sym w:font="Symbol" w:char="F0B3"/>
                  </w:r>
                  <w:r w:rsidRPr="00275068">
                    <w:rPr>
                      <w:sz w:val="28"/>
                      <w:szCs w:val="28"/>
                      <w:cs/>
                    </w:rPr>
                    <w:t xml:space="preserve"> 80</w:t>
                  </w:r>
                  <w:r w:rsidRPr="00275068">
                    <w:rPr>
                      <w:sz w:val="28"/>
                      <w:szCs w:val="28"/>
                    </w:rPr>
                    <w:t>%</w:t>
                  </w:r>
                </w:p>
                <w:p w:rsidR="006827C3" w:rsidRDefault="006827C3" w:rsidP="00AF215F">
                  <w:pPr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</w:rPr>
                    <w:t xml:space="preserve">2. </w:t>
                  </w:r>
                  <w:r w:rsidRPr="00275068">
                    <w:rPr>
                      <w:sz w:val="28"/>
                      <w:szCs w:val="28"/>
                      <w:cs/>
                    </w:rPr>
                    <w:t>อัตราการขาดนัดของผู้ป่วยในแต่ละ รพ.สต. ลดลง</w:t>
                  </w:r>
                </w:p>
                <w:p w:rsidR="008B3309" w:rsidRDefault="008B3309" w:rsidP="00AF215F">
                  <w:pPr>
                    <w:rPr>
                      <w:sz w:val="28"/>
                      <w:szCs w:val="28"/>
                    </w:rPr>
                  </w:pPr>
                </w:p>
                <w:p w:rsidR="008B3309" w:rsidRPr="00275068" w:rsidRDefault="008B3309" w:rsidP="00AF215F">
                  <w:pPr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8B3309" w:rsidRPr="00275068" w:rsidTr="00322901">
              <w:trPr>
                <w:trHeight w:val="454"/>
              </w:trPr>
              <w:tc>
                <w:tcPr>
                  <w:tcW w:w="2557" w:type="dxa"/>
                  <w:vAlign w:val="center"/>
                </w:tcPr>
                <w:p w:rsidR="008B3309" w:rsidRPr="003D3859" w:rsidRDefault="008B3309" w:rsidP="00014CDB">
                  <w:pPr>
                    <w:spacing w:before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D3859"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  <w:lastRenderedPageBreak/>
                    <w:t>ความท้าท้าย</w:t>
                  </w:r>
                </w:p>
              </w:tc>
              <w:tc>
                <w:tcPr>
                  <w:tcW w:w="2195" w:type="dxa"/>
                  <w:vAlign w:val="center"/>
                </w:tcPr>
                <w:p w:rsidR="008B3309" w:rsidRPr="003D3859" w:rsidRDefault="008B3309" w:rsidP="00014CDB">
                  <w:pPr>
                    <w:spacing w:before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D3859"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342" w:type="dxa"/>
                  <w:vAlign w:val="center"/>
                </w:tcPr>
                <w:p w:rsidR="008B3309" w:rsidRPr="003D3859" w:rsidRDefault="008B3309" w:rsidP="00014CDB">
                  <w:pPr>
                    <w:spacing w:before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D3859"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  <w:t>เป้าหมายและกรอบเวลา</w:t>
                  </w:r>
                </w:p>
              </w:tc>
              <w:tc>
                <w:tcPr>
                  <w:tcW w:w="2537" w:type="dxa"/>
                  <w:vAlign w:val="center"/>
                </w:tcPr>
                <w:p w:rsidR="008B3309" w:rsidRPr="003D3859" w:rsidRDefault="008B3309" w:rsidP="00014CDB">
                  <w:pPr>
                    <w:spacing w:before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D3859"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ตัวชี้วัดที่ใช้ติดตาม</w:t>
                  </w:r>
                </w:p>
              </w:tc>
            </w:tr>
            <w:tr w:rsidR="006827C3" w:rsidRPr="00275068" w:rsidTr="00322901">
              <w:trPr>
                <w:trHeight w:val="465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 xml:space="preserve">5. </w:t>
                  </w:r>
                  <w:r w:rsidRPr="00275068">
                    <w:rPr>
                      <w:sz w:val="28"/>
                      <w:szCs w:val="28"/>
                      <w:cs/>
                    </w:rPr>
                    <w:t>การพัฒนาศักยภาพของทีมดูแลผู้ป่วยโรคเรื้อรังในชุมชน</w:t>
                  </w:r>
                  <w:r w:rsidRPr="0027506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- เพื่อให้บุคลากรมีสมรรถนะในการดูแลผู้ป่วยโรคเรื้อรังถูกต้อง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 xml:space="preserve">ทีมดูแลผู้ป่วยเบาหวานและความดันโลหิตสูง และ เจ้าหน้าที่ใน รพ.สต. 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(ปีงบฯ 2561)</w:t>
                  </w:r>
                </w:p>
                <w:p w:rsidR="006827C3" w:rsidRPr="00275068" w:rsidRDefault="006827C3" w:rsidP="00AF215F">
                  <w:pPr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 xml:space="preserve">1. มีพยาบาลเวชปฏิบัติโรคเรื้อรัง 1 คน/1 </w:t>
                  </w:r>
                  <w:r w:rsidRPr="00275068">
                    <w:rPr>
                      <w:sz w:val="28"/>
                      <w:szCs w:val="28"/>
                    </w:rPr>
                    <w:t>CUP.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u w:val="single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 xml:space="preserve">2. </w:t>
                  </w:r>
                  <w:r w:rsidRPr="00275068">
                    <w:rPr>
                      <w:sz w:val="28"/>
                      <w:szCs w:val="28"/>
                      <w:cs/>
                    </w:rPr>
                    <w:t>แพทย์เวชปฏิบัติทั่วไป</w:t>
                  </w:r>
                  <w:r w:rsidRPr="00275068">
                    <w:rPr>
                      <w:sz w:val="28"/>
                      <w:szCs w:val="28"/>
                    </w:rPr>
                    <w:t xml:space="preserve"> </w:t>
                  </w:r>
                  <w:r w:rsidRPr="00275068">
                    <w:rPr>
                      <w:sz w:val="28"/>
                      <w:szCs w:val="28"/>
                      <w:cs/>
                    </w:rPr>
                    <w:t>ได้รับการอบรมหลักสูตรเวชศาสตร์ครอบครัว จำนวน 20 ชั่วโมง ทุกคน</w:t>
                  </w:r>
                </w:p>
              </w:tc>
            </w:tr>
            <w:tr w:rsidR="006827C3" w:rsidRPr="00275068" w:rsidTr="00322901">
              <w:trPr>
                <w:trHeight w:val="465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6. การพัฒนาศักยภาพของแพทย์ในการดูแลผู้ป่วยโรคเรื้อรังในชุมชน</w:t>
                  </w: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- เพื่อให้บุคลากรมีสมรรถนะในการดูแลผู้ป่วยโรคเรื้อรังถูกต้อง</w:t>
                  </w: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แพทย์ผู้รับผิดชอบในแต่ละ รพ.สต.</w:t>
                  </w: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</w:rPr>
                    <w:t xml:space="preserve">1. </w:t>
                  </w:r>
                  <w:r w:rsidRPr="00275068">
                    <w:rPr>
                      <w:sz w:val="28"/>
                      <w:szCs w:val="28"/>
                      <w:cs/>
                    </w:rPr>
                    <w:t>มีแพทย์เวชศาสตร์ครอบครัว จำนวน  1 คน</w:t>
                  </w:r>
                </w:p>
                <w:p w:rsidR="006827C3" w:rsidRPr="00275068" w:rsidRDefault="006827C3" w:rsidP="00AF215F">
                  <w:pPr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6827C3" w:rsidRPr="00275068" w:rsidTr="00322901">
              <w:trPr>
                <w:trHeight w:val="465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7. การนำร่องการส่งเสริมทันตสุขภาพใน</w:t>
                  </w: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เด็กปฐมวัย ใน</w:t>
                  </w:r>
                  <w:r w:rsidRPr="00275068">
                    <w:rPr>
                      <w:sz w:val="28"/>
                      <w:szCs w:val="28"/>
                      <w:cs/>
                    </w:rPr>
                    <w:t xml:space="preserve">ศูนย์พัฒนาเด็กเล็กในเขตรับผิดชอบ  </w:t>
                  </w: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- เพื่อควบคุมและป้องกันการเกิดฟันผุของเด็ก ในศูนย์พัฒนาเด็กเล็กในเขตรับผิดชอบ</w:t>
                  </w: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ศูนย์พัฒนาเด็กเล็ก  1 แห่ง ในเขตรับผิดชอบของโรงพยาบาล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(เม.ย.60-มิ.ย.60)</w:t>
                  </w:r>
                  <w:r w:rsidRPr="00275068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1. อัตราการเกิดฟันผุของเด็กอายุ 0-3 ปี ในศูนย์พัฒนาเด็กเล็กในเขตรับผิดชอบลดลง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2. อัตราการเกิดฟันผุของเด็กอายุ 3 ปี ในศูนย์พัฒนาเด็กเล็กทั้งหมดในเขตอำเภอหนองบุญมากลดลง</w:t>
                  </w:r>
                </w:p>
              </w:tc>
            </w:tr>
            <w:tr w:rsidR="006827C3" w:rsidRPr="00275068" w:rsidTr="00322901">
              <w:trPr>
                <w:trHeight w:val="465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8. การส่งเสริมทันตสุขภาพใน</w:t>
                  </w: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เด็กปฐมวัย ใน</w:t>
                  </w:r>
                  <w:r w:rsidRPr="00275068">
                    <w:rPr>
                      <w:sz w:val="28"/>
                      <w:szCs w:val="28"/>
                      <w:cs/>
                    </w:rPr>
                    <w:t>ศูนย์พัฒนาเด็กเล็กให้ครอบคลุมทุกพื้นที่ในเขตอำเภอหนองบุญมาก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- เพื่อควบคุมและป้องกันการเกิดฟันผุของเด็ก ในศูนย์พัฒนาเด็กเล็กให้ครอบคลุมทุกพื้นที่ในเขตอำเภอหนองบุญมาก</w:t>
                  </w: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ศูนย์พัฒนาเด็กเล็กในเขตอำเภอหนองบุญมาก จำนวน  10 แห่ง</w:t>
                  </w: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1. อัตราการเกิดฟันผุเด็กอายุ 3 ปี ในศูนย์พัฒนาเด็กเล็กในเขตอำเภอหนองบุญมากลดลง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2. มีเจ้าพนักงานทันตสาธารณสุขประจำ รพ.สต. ครอบคลุมทั้ง 11 แห่ง</w:t>
                  </w:r>
                </w:p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 xml:space="preserve">3. </w:t>
                  </w:r>
                  <w:r w:rsidRPr="00275068">
                    <w:rPr>
                      <w:sz w:val="28"/>
                      <w:szCs w:val="28"/>
                      <w:cs/>
                    </w:rPr>
                    <w:t>ร้อยละของความครอบคลุมของการจัดสรรยูนิตทันตกรรมให้แก่</w:t>
                  </w: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275068">
                    <w:rPr>
                      <w:sz w:val="28"/>
                      <w:szCs w:val="28"/>
                      <w:cs/>
                    </w:rPr>
                    <w:t xml:space="preserve">รพ.สต.ทั้ง 11 แห่ง </w:t>
                  </w:r>
                </w:p>
              </w:tc>
            </w:tr>
            <w:tr w:rsidR="006827C3" w:rsidRPr="00275068" w:rsidTr="00322901">
              <w:trPr>
                <w:trHeight w:val="465"/>
              </w:trPr>
              <w:tc>
                <w:tcPr>
                  <w:tcW w:w="2557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 xml:space="preserve">9. </w:t>
                  </w:r>
                  <w:r w:rsidRPr="00275068">
                    <w:rPr>
                      <w:sz w:val="28"/>
                      <w:szCs w:val="28"/>
                      <w:cs/>
                    </w:rPr>
                    <w:t>การควบคุมการระบาดของโรคไข้เลือดออก ในปี 2560</w:t>
                  </w:r>
                </w:p>
              </w:tc>
              <w:tc>
                <w:tcPr>
                  <w:tcW w:w="2195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- เพื่อควบคุมการระบาดของโรคไข้เลือดออกให้ลดลง 20</w:t>
                  </w:r>
                  <w:r w:rsidRPr="00275068">
                    <w:rPr>
                      <w:sz w:val="28"/>
                      <w:szCs w:val="28"/>
                    </w:rPr>
                    <w:t>%</w:t>
                  </w:r>
                  <w:r w:rsidRPr="00275068">
                    <w:rPr>
                      <w:sz w:val="28"/>
                      <w:szCs w:val="28"/>
                      <w:cs/>
                    </w:rPr>
                    <w:t xml:space="preserve"> ของค่ามัธยฐานย้อนหลัง </w:t>
                  </w: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275068">
                    <w:rPr>
                      <w:sz w:val="28"/>
                      <w:szCs w:val="28"/>
                      <w:cs/>
                    </w:rPr>
                    <w:t>5</w:t>
                  </w: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275068">
                    <w:rPr>
                      <w:sz w:val="28"/>
                      <w:szCs w:val="28"/>
                      <w:cs/>
                    </w:rPr>
                    <w:t>ปี ตามเกณฑ์ของ สสจ นม. กำหนด</w:t>
                  </w:r>
                </w:p>
              </w:tc>
              <w:tc>
                <w:tcPr>
                  <w:tcW w:w="2342" w:type="dxa"/>
                </w:tcPr>
                <w:p w:rsidR="006827C3" w:rsidRPr="00275068" w:rsidRDefault="006827C3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พื้นที่รับผิดชอบของ รพ.สต. 11 แห่ง และในเขตรับผิดชอบของโรงพยาบาล</w:t>
                  </w:r>
                </w:p>
                <w:p w:rsidR="006827C3" w:rsidRPr="00275068" w:rsidRDefault="006827C3" w:rsidP="00AF215F">
                  <w:pPr>
                    <w:rPr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(เม.ย.60-ต.ค.60)</w:t>
                  </w:r>
                </w:p>
              </w:tc>
              <w:tc>
                <w:tcPr>
                  <w:tcW w:w="2537" w:type="dxa"/>
                </w:tcPr>
                <w:p w:rsidR="006827C3" w:rsidRPr="00275068" w:rsidRDefault="006827C3" w:rsidP="00AF215F">
                  <w:pPr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 xml:space="preserve">1. </w:t>
                  </w:r>
                  <w:r w:rsidRPr="00275068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อัตราป่วย </w:t>
                  </w:r>
                  <w:r w:rsidRPr="00275068">
                    <w:rPr>
                      <w:rFonts w:eastAsia="Times New Roman"/>
                      <w:sz w:val="28"/>
                      <w:szCs w:val="28"/>
                    </w:rPr>
                    <w:t xml:space="preserve">DHF </w:t>
                  </w:r>
                  <w:r w:rsidRPr="00275068">
                    <w:rPr>
                      <w:rFonts w:eastAsia="Times New Roman"/>
                      <w:sz w:val="28"/>
                      <w:szCs w:val="28"/>
                      <w:cs/>
                    </w:rPr>
                    <w:t>ต่อแสนประชากร</w:t>
                  </w:r>
                  <w:r w:rsidRPr="00275068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275068">
                    <w:rPr>
                      <w:rFonts w:eastAsia="Times New Roman"/>
                      <w:sz w:val="28"/>
                      <w:szCs w:val="28"/>
                      <w:cs/>
                    </w:rPr>
                    <w:t>ลดลง 20</w:t>
                  </w:r>
                  <w:r w:rsidRPr="00275068">
                    <w:rPr>
                      <w:rFonts w:eastAsia="Times New Roman"/>
                      <w:sz w:val="28"/>
                      <w:szCs w:val="28"/>
                    </w:rPr>
                    <w:t>%</w:t>
                  </w:r>
                  <w:r w:rsidRPr="00275068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 จากค่ามัธยฐานย้อนหลัง 5 ปี</w:t>
                  </w:r>
                </w:p>
                <w:p w:rsidR="006827C3" w:rsidRPr="00275068" w:rsidRDefault="006827C3" w:rsidP="00AF215F">
                  <w:pPr>
                    <w:rPr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8B3309" w:rsidRDefault="008B3309" w:rsidP="00AF215F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6827C3" w:rsidRPr="003D3859" w:rsidRDefault="006827C3" w:rsidP="00AF215F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การถ่ายทอดกลยุทธ์สู่การปฏิบัติ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บทเรียนในการนำประเด็นที่ท้าทาย/ยาก ไปสู่การปฏิบัติ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จากผลการดำเนินงานของการดูแลผู้ป่วยโรคเรื้อรัง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ในโครงการ </w:t>
            </w:r>
            <w:r w:rsidRPr="00275068">
              <w:rPr>
                <w:sz w:val="28"/>
                <w:szCs w:val="28"/>
              </w:rPr>
              <w:t xml:space="preserve">NCD </w:t>
            </w:r>
            <w:r w:rsidRPr="00275068">
              <w:rPr>
                <w:rFonts w:hint="cs"/>
                <w:sz w:val="28"/>
                <w:szCs w:val="28"/>
                <w:cs/>
              </w:rPr>
              <w:t>คุณภาพ</w:t>
            </w:r>
            <w:r w:rsidRPr="00275068">
              <w:rPr>
                <w:sz w:val="28"/>
                <w:szCs w:val="28"/>
                <w:cs/>
              </w:rPr>
              <w:t xml:space="preserve"> พบว่าผลลัพธ์ทางด้านสุขภาพของผู้ป่วยยังไม่</w:t>
            </w:r>
            <w:r w:rsidRPr="00275068">
              <w:rPr>
                <w:sz w:val="28"/>
                <w:szCs w:val="28"/>
                <w:cs/>
              </w:rPr>
              <w:lastRenderedPageBreak/>
              <w:t xml:space="preserve">บรรลุเป้าหมาย โดยเฉพาะกลุ่มผู้ป่วยโรคเบาหวาน ความดันโลหิตสูง อัตราผู้ป่วยเบาหวานที่มีระดับ </w:t>
            </w:r>
            <w:r w:rsidRPr="00275068">
              <w:rPr>
                <w:sz w:val="28"/>
                <w:szCs w:val="28"/>
              </w:rPr>
              <w:t>HbA1c &lt; 7%</w:t>
            </w:r>
            <w:r w:rsidRPr="00275068">
              <w:rPr>
                <w:sz w:val="28"/>
                <w:szCs w:val="28"/>
                <w:cs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275068">
              <w:rPr>
                <w:sz w:val="28"/>
                <w:szCs w:val="28"/>
                <w:cs/>
              </w:rPr>
              <w:t xml:space="preserve">ปี 2557 </w:t>
            </w:r>
            <w:r w:rsidRPr="00275068">
              <w:rPr>
                <w:sz w:val="28"/>
                <w:szCs w:val="28"/>
              </w:rPr>
              <w:t xml:space="preserve">= 27.94%,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ปี 2558 </w:t>
            </w:r>
            <w:r w:rsidRPr="00275068">
              <w:rPr>
                <w:sz w:val="28"/>
                <w:szCs w:val="28"/>
              </w:rPr>
              <w:t xml:space="preserve">= 38.44%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และ ปี 2559 </w:t>
            </w:r>
            <w:r w:rsidRPr="00275068">
              <w:rPr>
                <w:sz w:val="28"/>
                <w:szCs w:val="28"/>
              </w:rPr>
              <w:t xml:space="preserve">= 42.85% </w:t>
            </w:r>
            <w:r w:rsidRPr="00275068">
              <w:rPr>
                <w:sz w:val="28"/>
                <w:szCs w:val="28"/>
                <w:cs/>
              </w:rPr>
              <w:t xml:space="preserve">อัตราผู้ป่วยความดันโลหิตสูงที่ควบคุมความดันโลหิตได้ต่ำกว่า 140/90 </w:t>
            </w:r>
            <w:r w:rsidRPr="00275068">
              <w:rPr>
                <w:sz w:val="28"/>
                <w:szCs w:val="28"/>
              </w:rPr>
              <w:t>mmHg.</w:t>
            </w:r>
            <w:r w:rsidRPr="00275068">
              <w:rPr>
                <w:sz w:val="28"/>
                <w:szCs w:val="28"/>
                <w:cs/>
              </w:rPr>
              <w:t xml:space="preserve"> ปี 2557 </w:t>
            </w:r>
            <w:r w:rsidRPr="00275068">
              <w:rPr>
                <w:sz w:val="28"/>
                <w:szCs w:val="28"/>
              </w:rPr>
              <w:t>= 77.62%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, ปี 2558 </w:t>
            </w:r>
            <w:r w:rsidRPr="00275068">
              <w:rPr>
                <w:sz w:val="28"/>
                <w:szCs w:val="28"/>
              </w:rPr>
              <w:t xml:space="preserve">= 94.87%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และปี 2559 </w:t>
            </w:r>
            <w:r w:rsidRPr="00275068">
              <w:rPr>
                <w:sz w:val="28"/>
                <w:szCs w:val="28"/>
              </w:rPr>
              <w:t xml:space="preserve">= 50.80% </w:t>
            </w:r>
            <w:r w:rsidRPr="00275068">
              <w:rPr>
                <w:sz w:val="28"/>
                <w:szCs w:val="28"/>
                <w:cs/>
              </w:rPr>
              <w:t xml:space="preserve">โรงพยาบาลจึงได้มีนโยบายพัฒนาระบบการดูแลรักษาผู้ป่วยโรคเรื้อรังแบบครบวงจร โดยผู้บริหารกำหนดนโยบายในที่ประชุมคณะกรรมการบริหาร ประกาศนโยบายถ่ายทอดผ่านหัวหน้าฝ่าย/หัวหน้างาน สู่ผู้ปฏิบัติงานและแจ้งในที่ประชุมคณะกรรมการประสานงานสาธารณสุขระดับอำเภอ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ทีม </w:t>
            </w:r>
            <w:r w:rsidRPr="00275068">
              <w:rPr>
                <w:sz w:val="28"/>
                <w:szCs w:val="28"/>
              </w:rPr>
              <w:t xml:space="preserve">PCT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ได้จัดตั้งเครือข่ายผู้ดูแลรักษาโรคเรื้อรัง และร่วมกันจัดทำแผนในการดูแลผู้ป่วย กำหนดผู้รับผิดชอบในการดูแลผู้ป่วยร่วมกับ รพ.สต. ครอบคลุมทั้ง 11 รพ.สต. และมีทีมสหวิชาชีพในการดูแลผู้ป่วยร่วม มีการนิเทศติดตามผลงานโดย </w:t>
            </w:r>
            <w:r w:rsidRPr="00275068">
              <w:rPr>
                <w:sz w:val="28"/>
                <w:szCs w:val="28"/>
              </w:rPr>
              <w:t xml:space="preserve">DM Manager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และสรุปผลการดำเนินงานเสนอผู้บริหาร เพื่อรับทราบผลงานและร่วมปรับปรุงแก้ไขปัญหาอุปสรรคในการทำงาน ผลลัพธ์ใน ปี 2560 </w:t>
            </w:r>
            <w:r w:rsidRPr="00275068">
              <w:rPr>
                <w:sz w:val="28"/>
                <w:szCs w:val="28"/>
                <w:cs/>
              </w:rPr>
              <w:t xml:space="preserve">อัตราผู้ป่วยเบาหวานที่มีระดับ </w:t>
            </w:r>
            <w:r w:rsidRPr="00275068">
              <w:rPr>
                <w:sz w:val="28"/>
                <w:szCs w:val="28"/>
              </w:rPr>
              <w:t>HbA1c &lt; 7%</w:t>
            </w:r>
            <w:r w:rsidRPr="00275068">
              <w:rPr>
                <w:sz w:val="28"/>
                <w:szCs w:val="28"/>
                <w:cs/>
              </w:rPr>
              <w:t xml:space="preserve"> </w:t>
            </w:r>
            <w:r w:rsidRPr="00275068">
              <w:rPr>
                <w:sz w:val="28"/>
                <w:szCs w:val="28"/>
              </w:rPr>
              <w:t xml:space="preserve">= 48.65%, </w:t>
            </w:r>
            <w:r w:rsidRPr="00275068">
              <w:rPr>
                <w:sz w:val="28"/>
                <w:szCs w:val="28"/>
                <w:cs/>
              </w:rPr>
              <w:t xml:space="preserve">อัตราผู้ป่วยความดันโลหิตสูงที่ควบคุมระดับความดันโลหิตได้ต่ำกว่า 140/90 </w:t>
            </w:r>
            <w:r w:rsidRPr="00275068">
              <w:rPr>
                <w:sz w:val="28"/>
                <w:szCs w:val="28"/>
              </w:rPr>
              <w:t xml:space="preserve">mmHg. = </w:t>
            </w:r>
            <w:r w:rsidR="00C65C94">
              <w:rPr>
                <w:sz w:val="28"/>
                <w:szCs w:val="28"/>
              </w:rPr>
              <w:t>76.28</w:t>
            </w:r>
            <w:r w:rsidRPr="00275068">
              <w:rPr>
                <w:sz w:val="28"/>
                <w:szCs w:val="28"/>
              </w:rPr>
              <w:t>%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บทเรียนในการสร้างความยั่งยืนของการพัฒนา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การพัฒนาระบบการดูแลรักษาผู้ป่วยโรคเรื้อรังแบบครบวงจร โดยผู้บริหารกำหนดเป็นนโยบายถ่ายทอดผ่านหัวหน้าฝ่าย/หัวหน้างาน ทีมนำทางคลินิก และผู้ปฏิบัติงาน สนับสนุนการเปลี่ยนแปลงระบบการบริการเชิงรุกเชื่อมโยงภาคีเครือข่ายสุขภาพ ส่งเสริมให้มีการวางแผนการดูแลรักษา ส่งเสริมการป้องกันและฟื้นฟูสภาพ ร่วมกันในทีมผู้ให้บริการ สนับสนุนทีมให้มีความพร้อมในการปฏิบัติงาน เช่น พัฒนาด้านองค์ความรู้ สร้างขวัญและกำลังใจแก่ทีม จัดให้มีการประชุมวิชาการในเครือข่าย จัดเวทีให้นำเสนอผลงานและแลกเปลี่ยนเรียนรู้ในเครือข่าย สนับสนุนอุปกรณ์เครื่องมือที่จำเป็นและเหมาะสม ผู้บริหารมีการติดตามผลการดำเนินงานอย่างต่อเนื่อง และผลลัพธ์ด้านสุขภาพของผู้ป่วยดีขึ้น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บทเรียนในการจัดการทรัพยากรบุคคลเพื่อปฏิบัติตามกลยุทธ์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การพัฒนาคุณภาพบริการดูแลผู้ป่วย ผู้บริหารได้มอบนโยบายแก่ทีมผู้ให้บริการและมีการส่งเสริมให้ทีมร่วมกันในการวางแผนการพัฒนาระบบบริการให้มีประสิทธิภาพ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sz w:val="28"/>
                <w:szCs w:val="28"/>
                <w:cs/>
              </w:rPr>
              <w:t>ครอบคลุมทุกมิติ โดยมีการจัดสรรบุคลากรให้เพียงพอเหมาะสมกับภาระงาน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75068">
              <w:rPr>
                <w:sz w:val="28"/>
                <w:szCs w:val="28"/>
                <w:cs/>
              </w:rPr>
              <w:t xml:space="preserve"> มีการกำหนดบทบาทของบุคลากรแต่ละวิชาชีพทุกระดับ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sz w:val="28"/>
                <w:szCs w:val="28"/>
                <w:cs/>
              </w:rPr>
              <w:t xml:space="preserve">สร้างความตระหนัก ส่งเสริมการพัฒนาองค์ความรู้ที่จำเป็นและเหมาะสม เพื่อเอื้อต่อการให้บริการผู้ป่วยทำให้ทีมผู้ให้บริการเกิดความมั่นใจ มีระบบการทำงานชัดเจน ส่งผลให้ผู้รับบริการปลอดภัย และพึงพอใจ  </w:t>
            </w:r>
            <w:r w:rsidRPr="00275068">
              <w:rPr>
                <w:sz w:val="28"/>
                <w:szCs w:val="28"/>
              </w:rPr>
              <w:t xml:space="preserve"> 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มีการประเมินสมรรถนะเชิงวิชาชีพของบุคลากรในการดูแลผู้ป่วยในโรคที่สำคัญขององค์กร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ผลการประเมินพบว่า ผ่านเกณฑ์ </w:t>
            </w:r>
            <w:r w:rsidRPr="00275068">
              <w:rPr>
                <w:sz w:val="28"/>
                <w:szCs w:val="28"/>
              </w:rPr>
              <w:t>100%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มีการนำตัวชี้วัดระดับโครงการมากำหนดเป็นตัวชี้วัดในการประเมินตัวชี้วัดรายบุคคล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>ส่งผลให้ผลการดำเนินงานขององค์กรบรรลุตามวัตถุประสงค์และเป้าหมายที่กำหนด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บทเรียนในการจัดการทรัพยากรอื่นๆ เพื่อปฏิบัติตามกลยุทธ์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275068" w:rsidRDefault="006827C3" w:rsidP="006827C3">
            <w:pPr>
              <w:numPr>
                <w:ilvl w:val="0"/>
                <w:numId w:val="3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 xml:space="preserve">อุบัติการณ์ระบบรถ </w:t>
            </w:r>
            <w:r w:rsidRPr="00275068">
              <w:rPr>
                <w:sz w:val="28"/>
                <w:szCs w:val="28"/>
              </w:rPr>
              <w:t xml:space="preserve">Refer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การส่งต่อผู้ป่วยล่าช้าเนื่องจากการจัดรถ </w:t>
            </w:r>
            <w:r w:rsidRPr="00275068">
              <w:rPr>
                <w:sz w:val="28"/>
                <w:szCs w:val="28"/>
              </w:rPr>
              <w:t xml:space="preserve">Refer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ไม่เหมาะสม ทีม </w:t>
            </w:r>
            <w:r w:rsidRPr="00275068">
              <w:rPr>
                <w:sz w:val="28"/>
                <w:szCs w:val="28"/>
              </w:rPr>
              <w:t xml:space="preserve">PCT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ร่วมกับหน่วยงานยานพาหนะ ได้ทบทวนและกำหนดแนวทางร่วมกัน โดยกำหนดประเภทรถ </w:t>
            </w:r>
            <w:r w:rsidRPr="00275068">
              <w:rPr>
                <w:sz w:val="28"/>
                <w:szCs w:val="28"/>
              </w:rPr>
              <w:t xml:space="preserve">Refer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เป็น  3 ระดับ คือ ระดับ </w:t>
            </w:r>
            <w:r w:rsidRPr="00275068">
              <w:rPr>
                <w:sz w:val="28"/>
                <w:szCs w:val="28"/>
              </w:rPr>
              <w:t>A</w:t>
            </w:r>
            <w:r w:rsidRPr="00275068">
              <w:rPr>
                <w:sz w:val="28"/>
                <w:szCs w:val="28"/>
                <w:vertAlign w:val="superscript"/>
              </w:rPr>
              <w:t>+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ระดับ </w:t>
            </w:r>
            <w:r w:rsidRPr="00275068">
              <w:rPr>
                <w:sz w:val="28"/>
                <w:szCs w:val="28"/>
              </w:rPr>
              <w:t xml:space="preserve">A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และระดับ </w:t>
            </w:r>
            <w:r w:rsidRPr="00275068">
              <w:rPr>
                <w:sz w:val="28"/>
                <w:szCs w:val="28"/>
              </w:rPr>
              <w:t xml:space="preserve">B </w:t>
            </w:r>
            <w:r w:rsidRPr="00275068">
              <w:rPr>
                <w:rFonts w:hint="cs"/>
                <w:sz w:val="28"/>
                <w:szCs w:val="28"/>
                <w:cs/>
              </w:rPr>
              <w:t>และมีการกำหนดข้อบ่งชี้ของผู้ป่วยที่ต้องใช้รถในแต่ละประเภท เพื่อให้สามารถสื่อสารกับพนักงานขับรถและการจัดรถให้เหมาะสม</w:t>
            </w:r>
          </w:p>
          <w:p w:rsidR="006827C3" w:rsidRPr="007D7285" w:rsidRDefault="006827C3" w:rsidP="006827C3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 xml:space="preserve">จากปัญหาค่าใช้จ่ายด้านวัสดุอุปกรณ์ เวชภัณฑ์ยา เวชภัณฑ์มิใช่ยา มีแนวโน้มสูงขึ้น โรงพยาบาลได้มีการพัฒนาเป็นระบบคลังพัสดุกลาง เพื่อให้มีวัสดุอุปกรณ์ เวชภัณฑ์ทางการแพทย์ ให้เพียงพอพร้อมใช้และควบคุมการใช้อย่างคุ้มค่า มีประสิทธิภาพ และสามารถลดค่าใช้จ่ายลงได้ เช่น </w:t>
            </w:r>
            <w:r w:rsidRPr="007D7285">
              <w:rPr>
                <w:sz w:val="28"/>
                <w:szCs w:val="28"/>
                <w:cs/>
              </w:rPr>
              <w:t>มูลค่าการจัดซื้อเวชภัณฑ์มิใช่ยา</w:t>
            </w:r>
            <w:r w:rsidRPr="007D7285">
              <w:rPr>
                <w:sz w:val="28"/>
                <w:szCs w:val="28"/>
              </w:rPr>
              <w:t xml:space="preserve"> </w:t>
            </w:r>
            <w:r w:rsidRPr="007D7285">
              <w:rPr>
                <w:rFonts w:hint="cs"/>
                <w:sz w:val="28"/>
                <w:szCs w:val="28"/>
                <w:cs/>
              </w:rPr>
              <w:t xml:space="preserve">ปี 2558 </w:t>
            </w:r>
            <w:r w:rsidRPr="007D7285">
              <w:rPr>
                <w:sz w:val="28"/>
                <w:szCs w:val="28"/>
              </w:rPr>
              <w:t xml:space="preserve">= </w:t>
            </w:r>
            <w:r w:rsidRPr="007D7285">
              <w:rPr>
                <w:rFonts w:hint="cs"/>
                <w:sz w:val="28"/>
                <w:szCs w:val="28"/>
                <w:cs/>
              </w:rPr>
              <w:t>8,307</w:t>
            </w:r>
            <w:r w:rsidRPr="007D7285">
              <w:rPr>
                <w:sz w:val="28"/>
                <w:szCs w:val="28"/>
              </w:rPr>
              <w:t xml:space="preserve">,808.82 </w:t>
            </w:r>
            <w:r w:rsidRPr="007D7285">
              <w:rPr>
                <w:rFonts w:hint="cs"/>
                <w:sz w:val="28"/>
                <w:szCs w:val="28"/>
                <w:cs/>
              </w:rPr>
              <w:t xml:space="preserve">บาท </w:t>
            </w:r>
            <w:r w:rsidRPr="007D7285">
              <w:rPr>
                <w:sz w:val="28"/>
                <w:szCs w:val="28"/>
              </w:rPr>
              <w:t xml:space="preserve"> </w:t>
            </w:r>
            <w:r w:rsidRPr="007D7285">
              <w:rPr>
                <w:rFonts w:hint="cs"/>
                <w:sz w:val="28"/>
                <w:szCs w:val="28"/>
                <w:cs/>
              </w:rPr>
              <w:t xml:space="preserve">ปี 2559 </w:t>
            </w:r>
            <w:r w:rsidRPr="007D7285">
              <w:rPr>
                <w:sz w:val="28"/>
                <w:szCs w:val="28"/>
              </w:rPr>
              <w:t>= 11,517,731.87</w:t>
            </w:r>
            <w:r w:rsidRPr="007D7285">
              <w:rPr>
                <w:rFonts w:hint="cs"/>
                <w:sz w:val="28"/>
                <w:szCs w:val="28"/>
                <w:cs/>
              </w:rPr>
              <w:t xml:space="preserve"> บาท  ปี 2560 </w:t>
            </w:r>
            <w:r w:rsidRPr="007D7285">
              <w:rPr>
                <w:sz w:val="28"/>
                <w:szCs w:val="28"/>
              </w:rPr>
              <w:t xml:space="preserve">= </w:t>
            </w:r>
            <w:r w:rsidR="006E10FD">
              <w:rPr>
                <w:sz w:val="28"/>
                <w:szCs w:val="28"/>
              </w:rPr>
              <w:t>9</w:t>
            </w:r>
            <w:r w:rsidRPr="007D7285">
              <w:rPr>
                <w:sz w:val="28"/>
                <w:szCs w:val="28"/>
              </w:rPr>
              <w:t>,</w:t>
            </w:r>
            <w:r w:rsidR="006E10FD">
              <w:rPr>
                <w:sz w:val="28"/>
                <w:szCs w:val="28"/>
              </w:rPr>
              <w:t>977</w:t>
            </w:r>
            <w:r w:rsidRPr="007D7285">
              <w:rPr>
                <w:sz w:val="28"/>
                <w:szCs w:val="28"/>
              </w:rPr>
              <w:t>,</w:t>
            </w:r>
            <w:r w:rsidR="006E10FD">
              <w:rPr>
                <w:sz w:val="28"/>
                <w:szCs w:val="28"/>
              </w:rPr>
              <w:t>402</w:t>
            </w:r>
            <w:r w:rsidRPr="007D7285">
              <w:rPr>
                <w:sz w:val="28"/>
                <w:szCs w:val="28"/>
              </w:rPr>
              <w:t>.</w:t>
            </w:r>
            <w:r w:rsidR="006E10FD">
              <w:rPr>
                <w:sz w:val="28"/>
                <w:szCs w:val="28"/>
              </w:rPr>
              <w:t>54</w:t>
            </w:r>
            <w:r w:rsidRPr="007D7285">
              <w:rPr>
                <w:sz w:val="28"/>
                <w:szCs w:val="28"/>
              </w:rPr>
              <w:t xml:space="preserve"> </w:t>
            </w:r>
            <w:r w:rsidRPr="007D7285">
              <w:rPr>
                <w:rFonts w:hint="cs"/>
                <w:sz w:val="28"/>
                <w:szCs w:val="28"/>
                <w:cs/>
              </w:rPr>
              <w:t>บาท</w:t>
            </w:r>
            <w:r w:rsidRPr="007D7285">
              <w:rPr>
                <w:sz w:val="28"/>
                <w:szCs w:val="28"/>
              </w:rPr>
              <w:t xml:space="preserve"> </w:t>
            </w:r>
          </w:p>
          <w:p w:rsidR="006827C3" w:rsidRPr="003D3859" w:rsidRDefault="006827C3" w:rsidP="00AF215F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7D7285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บทเรียนในการติดตามความก้าวหน้า</w:t>
            </w:r>
            <w:r w:rsidRPr="007D728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Default="006827C3" w:rsidP="006827C3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1839E4">
              <w:rPr>
                <w:sz w:val="28"/>
                <w:szCs w:val="28"/>
                <w:cs/>
              </w:rPr>
              <w:t>จากการติดตามการพัฒนาคลินิกโรคเรื้อรังในเครือข่าย รพ.สต. พบปัญหาการรวบรวมข้อมูลและการส่งข้อมูลเชื่อมโยงในเครือข่ายไม่ถูกต้อง ไม่ครบถ้วน ทีมดูแลผู้ป่วย</w:t>
            </w:r>
            <w:r w:rsidRPr="001839E4">
              <w:rPr>
                <w:rFonts w:hint="cs"/>
                <w:sz w:val="28"/>
                <w:szCs w:val="28"/>
                <w:cs/>
              </w:rPr>
              <w:t>ร่วมกับทีมระบบสารสนเทศ</w:t>
            </w:r>
            <w:r w:rsidRPr="001839E4">
              <w:rPr>
                <w:sz w:val="28"/>
                <w:szCs w:val="28"/>
                <w:cs/>
              </w:rPr>
              <w:t>ได้พัฒนาระบบการจัดการข้อมูลโดยใช้เทคโนโลยีสารสนเทศในการเก็บรวบรวม การสั่งการรักษาแก่ผู้ป่วย เพื่อเพิ่มความถูกต้อง ครบถ้วน ในการให้บริการผู้ป่วย</w:t>
            </w:r>
            <w:r w:rsidRPr="001839E4">
              <w:rPr>
                <w:sz w:val="28"/>
                <w:szCs w:val="28"/>
              </w:rPr>
              <w:t xml:space="preserve"> </w:t>
            </w:r>
          </w:p>
          <w:p w:rsidR="006827C3" w:rsidRPr="001839E4" w:rsidRDefault="006827C3" w:rsidP="006827C3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1839E4">
              <w:rPr>
                <w:sz w:val="28"/>
                <w:szCs w:val="28"/>
                <w:cs/>
              </w:rPr>
              <w:t>จากนโยบายให้มีการใช้</w:t>
            </w:r>
            <w:r w:rsidRPr="001839E4">
              <w:rPr>
                <w:rFonts w:hint="cs"/>
                <w:sz w:val="28"/>
                <w:szCs w:val="28"/>
                <w:cs/>
              </w:rPr>
              <w:t>ทรัพยากร</w:t>
            </w:r>
            <w:r w:rsidRPr="001839E4">
              <w:rPr>
                <w:sz w:val="28"/>
                <w:szCs w:val="28"/>
                <w:cs/>
              </w:rPr>
              <w:t>ให้เกิดประสิทธิภาพสูงสุด โรงพยาบาลจึงได้จัดทำระบบคลังพัสดุกลางและคลังพัสดุย่อยเพื่อควบคุมและติดตามกำกับการใช้</w:t>
            </w:r>
            <w:r w:rsidRPr="001839E4">
              <w:rPr>
                <w:rFonts w:hint="cs"/>
                <w:sz w:val="28"/>
                <w:szCs w:val="28"/>
                <w:cs/>
              </w:rPr>
              <w:t xml:space="preserve">ทรัพยากรต่างๆ ผลลัพธ์ข้อมูลการจัดซื้อเวชภัณฑ์มิใช่ยามีแนวโน้มลดลง </w:t>
            </w:r>
            <w:r w:rsidRPr="007D7285">
              <w:rPr>
                <w:rFonts w:hint="cs"/>
                <w:sz w:val="28"/>
                <w:szCs w:val="28"/>
                <w:cs/>
              </w:rPr>
              <w:t xml:space="preserve">ปี 2559 </w:t>
            </w:r>
            <w:r w:rsidRPr="007D7285">
              <w:rPr>
                <w:sz w:val="28"/>
                <w:szCs w:val="28"/>
              </w:rPr>
              <w:t>= 11,517,731.87</w:t>
            </w:r>
            <w:r w:rsidRPr="007D7285">
              <w:rPr>
                <w:rFonts w:hint="cs"/>
                <w:sz w:val="28"/>
                <w:szCs w:val="28"/>
                <w:cs/>
              </w:rPr>
              <w:t xml:space="preserve"> บาท  ปี 2560 </w:t>
            </w:r>
            <w:r w:rsidRPr="007D7285">
              <w:rPr>
                <w:sz w:val="28"/>
                <w:szCs w:val="28"/>
              </w:rPr>
              <w:t xml:space="preserve">= 7,747,173.73 </w:t>
            </w:r>
            <w:r w:rsidRPr="007D7285">
              <w:rPr>
                <w:rFonts w:hint="cs"/>
                <w:sz w:val="28"/>
                <w:szCs w:val="28"/>
                <w:cs/>
              </w:rPr>
              <w:t>บาท</w:t>
            </w:r>
            <w:r w:rsidRPr="007D7285">
              <w:rPr>
                <w:sz w:val="28"/>
                <w:szCs w:val="28"/>
              </w:rPr>
              <w:t xml:space="preserve"> 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การคาดการณ์และเปรียบเทียบผลการดำเนินงาน</w:t>
            </w:r>
          </w:p>
          <w:p w:rsidR="006827C3" w:rsidRPr="003D3859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3D3859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บทเรียนในการตอบสนองต่อผลการดำเนินการที่ไม่เป็นไปตามที่คาดการณ์</w:t>
            </w:r>
            <w:r w:rsidRPr="003D385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 xml:space="preserve">จากผลลัพธ์การดูแลผู้ป่วยโรคเบาหวานที่ควบคุมระดับน้ำตาลได้ดีและมีค่า </w:t>
            </w:r>
            <w:r w:rsidRPr="00275068">
              <w:rPr>
                <w:sz w:val="28"/>
                <w:szCs w:val="28"/>
              </w:rPr>
              <w:t xml:space="preserve">HbA1c </w:t>
            </w:r>
            <w:r w:rsidRPr="00275068">
              <w:rPr>
                <w:sz w:val="28"/>
                <w:szCs w:val="28"/>
              </w:rPr>
              <w:sym w:font="Symbol" w:char="F0A3"/>
            </w:r>
            <w:r w:rsidRPr="00275068">
              <w:rPr>
                <w:sz w:val="28"/>
                <w:szCs w:val="28"/>
              </w:rPr>
              <w:t xml:space="preserve"> 7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ซึ่งเกณฑ์ของจังหวัดนครราชสีมาให้ได้ 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</w:rPr>
              <w:sym w:font="Symbol" w:char="F0B3"/>
            </w:r>
            <w:r w:rsidRPr="00275068">
              <w:rPr>
                <w:sz w:val="28"/>
                <w:szCs w:val="28"/>
              </w:rPr>
              <w:t xml:space="preserve"> 40%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ผลงานที่ผ่านมาในปี 2557 </w:t>
            </w:r>
            <w:r w:rsidRPr="00275068">
              <w:rPr>
                <w:sz w:val="28"/>
                <w:szCs w:val="28"/>
              </w:rPr>
              <w:t xml:space="preserve">= 27.94% 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ปี 2558 </w:t>
            </w:r>
            <w:r w:rsidRPr="00275068">
              <w:rPr>
                <w:sz w:val="28"/>
                <w:szCs w:val="28"/>
              </w:rPr>
              <w:t xml:space="preserve">= 38.44% 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และปี 2559 </w:t>
            </w:r>
            <w:r w:rsidRPr="00275068">
              <w:rPr>
                <w:sz w:val="28"/>
                <w:szCs w:val="28"/>
              </w:rPr>
              <w:t xml:space="preserve">= 42.8%  </w:t>
            </w:r>
            <w:r w:rsidRPr="00275068">
              <w:rPr>
                <w:rFonts w:hint="cs"/>
                <w:sz w:val="28"/>
                <w:szCs w:val="28"/>
                <w:cs/>
              </w:rPr>
              <w:t>พบว่าผลงานต่ำกว่าเกณฑ์จังหวัด ทีมนำทางคลินิกและทีมผู้ดูแลผู้ป่วยโรคเบาหวาน ความดันโลหิตสูง จึงได้ทบทวนและพบว่า กลุ่มที่ควบคุมระดับน้ำตาลได้ไม่ดีเกิดจากการรับประทานอาหารไม่ถูกต้อง จึงได้มีการนำกลุ่มผู้ป่วยกลุ่มเหล่านี้มาทำกิจกรรมกลุ่มและให้ความรู้  ติดตามเยี่ยมบ้าน</w:t>
            </w:r>
            <w:r w:rsidRPr="00275068">
              <w:rPr>
                <w:sz w:val="28"/>
                <w:szCs w:val="28"/>
                <w:cs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เพื่อประเมินศักยภาพผู้ป่วยและ </w:t>
            </w:r>
            <w:r w:rsidRPr="00275068">
              <w:rPr>
                <w:sz w:val="28"/>
                <w:szCs w:val="28"/>
              </w:rPr>
              <w:t>Care giver</w:t>
            </w:r>
            <w:r w:rsidRPr="00275068">
              <w:rPr>
                <w:sz w:val="28"/>
                <w:szCs w:val="28"/>
                <w:cs/>
              </w:rPr>
              <w:t xml:space="preserve"> 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การตรวจสอบมาตรฐานสถานพยาบาลและสถานประกอบการเพื่อสุขภาพและผลิตภัณฑ์สุขภาพ ไม่ผ่านเกณฑ์มาตรฐานของจังหวัด จากการทบทวนพบว่า เกิดจากการประสานงานและการส่งข้อมูลไม่ครบถ้วน ในการตรวจสอบมาตรฐานและผลลัพธ์ด้านสุขภาพ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 จึงได้มีการมอบหมายผู้รับผิดชอบในการจัดเก็บข้อมูลและส่งข้อมูล และมีการตรวจสอบข้อมูลก่อนและหลังส่งให้จังหวัด </w:t>
            </w:r>
          </w:p>
          <w:p w:rsidR="006827C3" w:rsidRPr="00275068" w:rsidRDefault="006827C3" w:rsidP="006827C3">
            <w:pPr>
              <w:pStyle w:val="aa"/>
              <w:numPr>
                <w:ilvl w:val="0"/>
                <w:numId w:val="4"/>
              </w:numPr>
              <w:ind w:left="270" w:hanging="270"/>
              <w:rPr>
                <w:sz w:val="28"/>
                <w:szCs w:val="28"/>
              </w:rPr>
            </w:pPr>
            <w:r w:rsidRPr="00275068">
              <w:rPr>
                <w:szCs w:val="28"/>
                <w:cs/>
              </w:rPr>
              <w:t>ระบบบำบัดน้ำเสียไม่ผ่านเกณฑ์มาตรฐาน จากการทบทวนพบว่า ระบบเติมคลอรีนน้ำในระบบบำบัดน้ำเสียยังไม่มีประสิทธิภาพ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sz w:val="28"/>
                <w:szCs w:val="28"/>
                <w:cs/>
              </w:rPr>
              <w:t>จึงได้กำหนดแนวทางแก้ไข</w:t>
            </w:r>
            <w:r w:rsidRPr="00275068">
              <w:rPr>
                <w:szCs w:val="28"/>
                <w:cs/>
              </w:rPr>
              <w:t xml:space="preserve"> โดยกำหนดเวลาปล่อยน้ำทิ้งไปรดต้นไม้ในโรงพยาบาลช่วงเวลา 7.00</w:t>
            </w:r>
            <w:r w:rsidRPr="00275068">
              <w:rPr>
                <w:rFonts w:hint="cs"/>
                <w:szCs w:val="28"/>
                <w:cs/>
              </w:rPr>
              <w:t>-</w:t>
            </w:r>
            <w:r w:rsidRPr="00275068">
              <w:rPr>
                <w:szCs w:val="28"/>
                <w:cs/>
              </w:rPr>
              <w:t>8.00 น. และช่วงเวลา 14.00</w:t>
            </w:r>
            <w:r w:rsidRPr="00275068">
              <w:rPr>
                <w:rFonts w:hint="cs"/>
                <w:szCs w:val="28"/>
                <w:cs/>
              </w:rPr>
              <w:t>-</w:t>
            </w:r>
            <w:r w:rsidRPr="00275068">
              <w:rPr>
                <w:szCs w:val="28"/>
                <w:cs/>
              </w:rPr>
              <w:t>15.00 น.</w:t>
            </w:r>
            <w:r w:rsidRPr="00275068">
              <w:rPr>
                <w:sz w:val="28"/>
                <w:szCs w:val="28"/>
              </w:rPr>
              <w:t xml:space="preserve"> </w:t>
            </w:r>
            <w:r w:rsidRPr="00275068">
              <w:rPr>
                <w:szCs w:val="28"/>
                <w:cs/>
              </w:rPr>
              <w:t>เมื่อน้ำทิ้งถูกสูบจากถังพักไปรดต้นไม้ จนหมดทั้ง 2 ถัง เครื่องสูบน้ำเสียก็จะเริ่มสูบน้ำเสียผ่านท่อพีวีซีวน พร้อมกับเครื่องหยดคลอรีนก็จะหยดคลอรีนอัตโนมัติไปเรื่อยๆ จนน้ำเสียเต็มถังพักน้ำทั้ง 2 ถัง เครื่องสูบน้ำเสียกับเครื่องหยดคลอรีนก็หยุดทำงาน</w:t>
            </w:r>
            <w:r w:rsidRPr="00275068">
              <w:rPr>
                <w:szCs w:val="28"/>
              </w:rPr>
              <w:t xml:space="preserve"> 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และคณะกรรมการบริหารโรงพยาบาลได้กำหนดแผนปรับปรุงและสร้างระบบบ่อบำบัดน้ำเสียใหม่ ในปี 2561 </w:t>
            </w:r>
          </w:p>
          <w:p w:rsidR="006827C3" w:rsidRPr="007C0910" w:rsidRDefault="006827C3" w:rsidP="00AF215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7C0910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7C0910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6827C3" w:rsidRPr="00275068" w:rsidRDefault="006827C3" w:rsidP="00AF215F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 xml:space="preserve">การพัฒนาระบบคลังพัสดุกลาง ทำให้เห็นมูลค่าการจัดซื้อลดลงอย่างชัดเจนในกลุ่มของการจัดซื้อเวชภัณฑ์มิใช่ยา </w:t>
            </w:r>
          </w:p>
          <w:p w:rsidR="006827C3" w:rsidRPr="00275068" w:rsidRDefault="006827C3" w:rsidP="00AF215F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275068">
              <w:rPr>
                <w:b/>
                <w:bCs/>
                <w:sz w:val="28"/>
                <w:szCs w:val="28"/>
                <w:cs/>
              </w:rPr>
              <w:t>การพัฒนาระบบคลังพัสดุรวม</w:t>
            </w:r>
          </w:p>
          <w:tbl>
            <w:tblPr>
              <w:tblW w:w="9633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00"/>
              <w:gridCol w:w="1609"/>
              <w:gridCol w:w="1607"/>
              <w:gridCol w:w="1607"/>
              <w:gridCol w:w="1510"/>
            </w:tblGrid>
            <w:tr w:rsidR="006E10FD" w:rsidRPr="00275068" w:rsidTr="006E10FD">
              <w:trPr>
                <w:trHeight w:val="377"/>
              </w:trPr>
              <w:tc>
                <w:tcPr>
                  <w:tcW w:w="1713" w:type="pct"/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5068">
                    <w:rPr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835" w:type="pct"/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5068">
                    <w:rPr>
                      <w:b/>
                      <w:bCs/>
                      <w:sz w:val="28"/>
                      <w:szCs w:val="28"/>
                      <w:cs/>
                    </w:rPr>
                    <w:t>ปี 2557</w:t>
                  </w:r>
                </w:p>
              </w:tc>
              <w:tc>
                <w:tcPr>
                  <w:tcW w:w="834" w:type="pct"/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ปี 2558</w:t>
                  </w:r>
                </w:p>
              </w:tc>
              <w:tc>
                <w:tcPr>
                  <w:tcW w:w="834" w:type="pct"/>
                  <w:tcBorders>
                    <w:right w:val="single" w:sz="4" w:space="0" w:color="auto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ปี 2559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ปี 25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60</w:t>
                  </w:r>
                </w:p>
              </w:tc>
            </w:tr>
            <w:tr w:rsidR="006E10FD" w:rsidRPr="00275068" w:rsidTr="006E10FD">
              <w:trPr>
                <w:trHeight w:val="548"/>
              </w:trPr>
              <w:tc>
                <w:tcPr>
                  <w:tcW w:w="1713" w:type="pct"/>
                  <w:tcBorders>
                    <w:bottom w:val="single" w:sz="4" w:space="0" w:color="000000"/>
                  </w:tcBorders>
                  <w:vAlign w:val="center"/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มูลค่าการจัดซื้อเวชภัณฑ์ยา</w:t>
                  </w:r>
                  <w:r w:rsidRPr="00275068">
                    <w:rPr>
                      <w:sz w:val="28"/>
                      <w:szCs w:val="28"/>
                    </w:rPr>
                    <w:t xml:space="preserve"> </w:t>
                  </w:r>
                  <w:r w:rsidRPr="00275068">
                    <w:rPr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835" w:type="pct"/>
                  <w:tcBorders>
                    <w:bottom w:val="single" w:sz="4" w:space="0" w:color="000000"/>
                  </w:tcBorders>
                  <w:vAlign w:val="center"/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11,021,698.82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000000"/>
                  </w:tcBorders>
                  <w:vAlign w:val="center"/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9,387,069.65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14</w:t>
                  </w:r>
                  <w:r>
                    <w:rPr>
                      <w:sz w:val="28"/>
                      <w:szCs w:val="28"/>
                    </w:rPr>
                    <w:t>,710,050.43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13,043,226.00</w:t>
                  </w:r>
                </w:p>
              </w:tc>
            </w:tr>
            <w:tr w:rsidR="006E10FD" w:rsidRPr="00275068" w:rsidTr="006E10FD">
              <w:trPr>
                <w:trHeight w:val="752"/>
              </w:trPr>
              <w:tc>
                <w:tcPr>
                  <w:tcW w:w="1713" w:type="pct"/>
                  <w:tcBorders>
                    <w:bottom w:val="nil"/>
                  </w:tcBorders>
                  <w:vAlign w:val="center"/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มูลค่าการจัดซื้อเวชภัณฑ์มิใช่ยา</w:t>
                  </w:r>
                  <w:r w:rsidRPr="00275068">
                    <w:rPr>
                      <w:sz w:val="28"/>
                      <w:szCs w:val="28"/>
                    </w:rPr>
                    <w:t xml:space="preserve"> </w:t>
                  </w:r>
                  <w:r w:rsidRPr="00275068">
                    <w:rPr>
                      <w:sz w:val="28"/>
                      <w:szCs w:val="28"/>
                      <w:cs/>
                    </w:rPr>
                    <w:t>(บาท) แบ่งเป็น</w:t>
                  </w:r>
                </w:p>
              </w:tc>
              <w:tc>
                <w:tcPr>
                  <w:tcW w:w="835" w:type="pct"/>
                  <w:tcBorders>
                    <w:bottom w:val="nil"/>
                  </w:tcBorders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10,530,791.13</w:t>
                  </w:r>
                </w:p>
              </w:tc>
              <w:tc>
                <w:tcPr>
                  <w:tcW w:w="834" w:type="pct"/>
                  <w:tcBorders>
                    <w:bottom w:val="nil"/>
                  </w:tcBorders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8,307,808.82</w:t>
                  </w:r>
                </w:p>
              </w:tc>
              <w:tc>
                <w:tcPr>
                  <w:tcW w:w="834" w:type="pct"/>
                  <w:tcBorders>
                    <w:bottom w:val="nil"/>
                    <w:right w:val="single" w:sz="4" w:space="0" w:color="auto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11,517,731.87</w:t>
                  </w:r>
                </w:p>
              </w:tc>
              <w:tc>
                <w:tcPr>
                  <w:tcW w:w="784" w:type="pct"/>
                  <w:tcBorders>
                    <w:left w:val="single" w:sz="4" w:space="0" w:color="auto"/>
                    <w:bottom w:val="nil"/>
                  </w:tcBorders>
                </w:tcPr>
                <w:p w:rsidR="006E10FD" w:rsidRDefault="006E10FD" w:rsidP="006E10FD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9,977,402.54</w:t>
                  </w:r>
                </w:p>
                <w:p w:rsidR="006E10FD" w:rsidRPr="00275068" w:rsidRDefault="006E10FD" w:rsidP="00AF215F">
                  <w:pPr>
                    <w:pStyle w:val="aa"/>
                    <w:ind w:left="0" w:firstLine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6E10FD" w:rsidRPr="00275068" w:rsidTr="006E10FD">
              <w:trPr>
                <w:trHeight w:val="446"/>
              </w:trPr>
              <w:tc>
                <w:tcPr>
                  <w:tcW w:w="1713" w:type="pct"/>
                  <w:tcBorders>
                    <w:top w:val="nil"/>
                    <w:bottom w:val="nil"/>
                  </w:tcBorders>
                  <w:vAlign w:val="center"/>
                </w:tcPr>
                <w:p w:rsidR="006E10FD" w:rsidRPr="00275068" w:rsidRDefault="006E10FD" w:rsidP="006827C3">
                  <w:pPr>
                    <w:pStyle w:val="aa"/>
                    <w:numPr>
                      <w:ilvl w:val="0"/>
                      <w:numId w:val="39"/>
                    </w:numPr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</w:rPr>
                    <w:t>LAB</w:t>
                  </w:r>
                </w:p>
              </w:tc>
              <w:tc>
                <w:tcPr>
                  <w:tcW w:w="835" w:type="pct"/>
                  <w:tcBorders>
                    <w:top w:val="nil"/>
                    <w:bottom w:val="nil"/>
                  </w:tcBorders>
                  <w:vAlign w:val="center"/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5,437,639.30</w:t>
                  </w:r>
                </w:p>
              </w:tc>
              <w:tc>
                <w:tcPr>
                  <w:tcW w:w="834" w:type="pct"/>
                  <w:tcBorders>
                    <w:top w:val="nil"/>
                    <w:bottom w:val="nil"/>
                  </w:tcBorders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4,330,605.45</w:t>
                  </w:r>
                </w:p>
              </w:tc>
              <w:tc>
                <w:tcPr>
                  <w:tcW w:w="834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5,787,655.20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5,456,205.30</w:t>
                  </w:r>
                </w:p>
              </w:tc>
            </w:tr>
            <w:tr w:rsidR="006E10FD" w:rsidRPr="00275068" w:rsidTr="006E10FD">
              <w:trPr>
                <w:trHeight w:val="446"/>
              </w:trPr>
              <w:tc>
                <w:tcPr>
                  <w:tcW w:w="1713" w:type="pct"/>
                  <w:tcBorders>
                    <w:top w:val="nil"/>
                    <w:bottom w:val="nil"/>
                  </w:tcBorders>
                  <w:vAlign w:val="center"/>
                </w:tcPr>
                <w:p w:rsidR="006E10FD" w:rsidRPr="00275068" w:rsidRDefault="006E10FD" w:rsidP="006827C3">
                  <w:pPr>
                    <w:pStyle w:val="aa"/>
                    <w:numPr>
                      <w:ilvl w:val="0"/>
                      <w:numId w:val="39"/>
                    </w:numPr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ทันตกรรม</w:t>
                  </w:r>
                </w:p>
              </w:tc>
              <w:tc>
                <w:tcPr>
                  <w:tcW w:w="835" w:type="pct"/>
                  <w:tcBorders>
                    <w:top w:val="nil"/>
                    <w:bottom w:val="nil"/>
                  </w:tcBorders>
                  <w:vAlign w:val="center"/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672,346.39</w:t>
                  </w:r>
                </w:p>
              </w:tc>
              <w:tc>
                <w:tcPr>
                  <w:tcW w:w="834" w:type="pct"/>
                  <w:tcBorders>
                    <w:top w:val="nil"/>
                    <w:bottom w:val="nil"/>
                  </w:tcBorders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384,100.02</w:t>
                  </w:r>
                </w:p>
              </w:tc>
              <w:tc>
                <w:tcPr>
                  <w:tcW w:w="834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615,238.24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514,839.70</w:t>
                  </w:r>
                </w:p>
              </w:tc>
            </w:tr>
            <w:tr w:rsidR="006E10FD" w:rsidRPr="00275068" w:rsidTr="006E10FD">
              <w:trPr>
                <w:trHeight w:val="473"/>
              </w:trPr>
              <w:tc>
                <w:tcPr>
                  <w:tcW w:w="1713" w:type="pct"/>
                  <w:tcBorders>
                    <w:top w:val="nil"/>
                  </w:tcBorders>
                  <w:vAlign w:val="center"/>
                </w:tcPr>
                <w:p w:rsidR="006E10FD" w:rsidRPr="00275068" w:rsidRDefault="006E10FD" w:rsidP="006827C3">
                  <w:pPr>
                    <w:pStyle w:val="aa"/>
                    <w:numPr>
                      <w:ilvl w:val="0"/>
                      <w:numId w:val="39"/>
                    </w:numPr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การแพทย์</w:t>
                  </w:r>
                </w:p>
              </w:tc>
              <w:tc>
                <w:tcPr>
                  <w:tcW w:w="835" w:type="pct"/>
                  <w:tcBorders>
                    <w:top w:val="nil"/>
                  </w:tcBorders>
                  <w:vAlign w:val="center"/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>4,420,805.44</w:t>
                  </w:r>
                </w:p>
              </w:tc>
              <w:tc>
                <w:tcPr>
                  <w:tcW w:w="834" w:type="pct"/>
                  <w:tcBorders>
                    <w:top w:val="nil"/>
                  </w:tcBorders>
                </w:tcPr>
                <w:p w:rsidR="006E10FD" w:rsidRPr="00275068" w:rsidRDefault="006E10FD" w:rsidP="00052A6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3,593,103.35</w:t>
                  </w:r>
                </w:p>
              </w:tc>
              <w:tc>
                <w:tcPr>
                  <w:tcW w:w="834" w:type="pct"/>
                  <w:tcBorders>
                    <w:top w:val="nil"/>
                    <w:right w:val="single" w:sz="4" w:space="0" w:color="auto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5,114,838.43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single" w:sz="4" w:space="0" w:color="auto"/>
                  </w:tcBorders>
                </w:tcPr>
                <w:p w:rsidR="006E10FD" w:rsidRPr="00275068" w:rsidRDefault="006E10FD" w:rsidP="00AF215F">
                  <w:pPr>
                    <w:pStyle w:val="aa"/>
                    <w:ind w:left="0" w:firstLine="0"/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4,006,357.54</w:t>
                  </w:r>
                </w:p>
              </w:tc>
            </w:tr>
          </w:tbl>
          <w:p w:rsidR="002B55E0" w:rsidRPr="00275068" w:rsidRDefault="002B55E0" w:rsidP="00AF215F">
            <w:pPr>
              <w:spacing w:before="0"/>
              <w:rPr>
                <w:sz w:val="24"/>
                <w:szCs w:val="24"/>
              </w:rPr>
            </w:pPr>
          </w:p>
          <w:p w:rsidR="006827C3" w:rsidRPr="00275068" w:rsidRDefault="006827C3" w:rsidP="00AF215F">
            <w:pPr>
              <w:spacing w:before="0"/>
              <w:rPr>
                <w:sz w:val="28"/>
                <w:szCs w:val="28"/>
              </w:rPr>
            </w:pPr>
            <w:r w:rsidRPr="00275068">
              <w:rPr>
                <w:rFonts w:hint="cs"/>
                <w:sz w:val="24"/>
                <w:szCs w:val="24"/>
              </w:rPr>
              <w:sym w:font="Wingdings" w:char="F06C"/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75068">
              <w:rPr>
                <w:sz w:val="28"/>
                <w:szCs w:val="28"/>
                <w:cs/>
              </w:rPr>
              <w:t>การพัฒนาคลินิกโรคเรื้อรังทำให้ผลลัพธ์ด้านสุขภาพของกลุ่มผู้ป่วย ดีขึ้น</w:t>
            </w:r>
          </w:p>
          <w:tbl>
            <w:tblPr>
              <w:tblW w:w="9517" w:type="dxa"/>
              <w:jc w:val="center"/>
              <w:tblInd w:w="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71"/>
              <w:gridCol w:w="1134"/>
              <w:gridCol w:w="1134"/>
              <w:gridCol w:w="1134"/>
              <w:gridCol w:w="1134"/>
              <w:gridCol w:w="1010"/>
            </w:tblGrid>
            <w:tr w:rsidR="006827C3" w:rsidRPr="00275068" w:rsidTr="00904CC8">
              <w:trPr>
                <w:trHeight w:val="407"/>
                <w:jc w:val="center"/>
              </w:trPr>
              <w:tc>
                <w:tcPr>
                  <w:tcW w:w="3971" w:type="dxa"/>
                  <w:vMerge w:val="restart"/>
                  <w:vAlign w:val="center"/>
                </w:tcPr>
                <w:p w:rsidR="006827C3" w:rsidRPr="00275068" w:rsidRDefault="006827C3" w:rsidP="00AF215F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5068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5546" w:type="dxa"/>
                  <w:gridSpan w:val="5"/>
                </w:tcPr>
                <w:p w:rsidR="006827C3" w:rsidRPr="00275068" w:rsidRDefault="006827C3" w:rsidP="00AF215F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275068">
                    <w:rPr>
                      <w:b/>
                      <w:bCs/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904CC8" w:rsidRPr="00275068" w:rsidTr="00D87E30">
              <w:trPr>
                <w:trHeight w:val="161"/>
                <w:jc w:val="center"/>
              </w:trPr>
              <w:tc>
                <w:tcPr>
                  <w:tcW w:w="3971" w:type="dxa"/>
                  <w:vMerge/>
                </w:tcPr>
                <w:p w:rsidR="00904CC8" w:rsidRPr="00275068" w:rsidRDefault="00904CC8" w:rsidP="00AF215F">
                  <w:p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04CC8" w:rsidRPr="00275068" w:rsidRDefault="00904CC8" w:rsidP="00AF215F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275068">
                    <w:rPr>
                      <w:b/>
                      <w:bCs/>
                      <w:sz w:val="28"/>
                      <w:szCs w:val="28"/>
                      <w:cs/>
                    </w:rPr>
                    <w:t>ปี 2556</w:t>
                  </w:r>
                </w:p>
              </w:tc>
              <w:tc>
                <w:tcPr>
                  <w:tcW w:w="1134" w:type="dxa"/>
                </w:tcPr>
                <w:p w:rsidR="00904CC8" w:rsidRPr="00275068" w:rsidRDefault="00904CC8" w:rsidP="00AF215F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5068">
                    <w:rPr>
                      <w:b/>
                      <w:bCs/>
                      <w:sz w:val="28"/>
                      <w:szCs w:val="28"/>
                      <w:cs/>
                    </w:rPr>
                    <w:t>ปี 2557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04CC8" w:rsidRPr="00275068" w:rsidRDefault="00904CC8" w:rsidP="00904CC8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275068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ปี </w:t>
                  </w:r>
                  <w:r w:rsidRPr="00275068">
                    <w:rPr>
                      <w:b/>
                      <w:bCs/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4CC8" w:rsidRPr="00275068" w:rsidRDefault="00904CC8" w:rsidP="00D87E30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ปี </w:t>
                  </w:r>
                  <w:r w:rsidRPr="00275068">
                    <w:rPr>
                      <w:b/>
                      <w:bCs/>
                      <w:sz w:val="28"/>
                      <w:szCs w:val="28"/>
                      <w:cs/>
                    </w:rPr>
                    <w:t>255</w:t>
                  </w:r>
                  <w:r w:rsidRPr="00275068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10" w:type="dxa"/>
                  <w:tcBorders>
                    <w:left w:val="single" w:sz="4" w:space="0" w:color="auto"/>
                  </w:tcBorders>
                </w:tcPr>
                <w:p w:rsidR="00904CC8" w:rsidRPr="00275068" w:rsidRDefault="00E37B09" w:rsidP="00D87E30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ปี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2560</w:t>
                  </w:r>
                </w:p>
              </w:tc>
            </w:tr>
            <w:tr w:rsidR="00904CC8" w:rsidRPr="00275068" w:rsidTr="00D87E30">
              <w:trPr>
                <w:trHeight w:val="419"/>
                <w:jc w:val="center"/>
              </w:trPr>
              <w:tc>
                <w:tcPr>
                  <w:tcW w:w="3971" w:type="dxa"/>
                </w:tcPr>
                <w:p w:rsidR="00904CC8" w:rsidRPr="00275068" w:rsidRDefault="00904CC8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 xml:space="preserve">ร้อยละของผู้ป่วยความดันโลหิตสูงที่ควบคุมระดับความดันโลหิตได้ต่ำกว่า 140/90 </w:t>
                  </w:r>
                  <w:r w:rsidRPr="00275068">
                    <w:rPr>
                      <w:sz w:val="28"/>
                      <w:szCs w:val="28"/>
                    </w:rPr>
                    <w:t>mmHg.</w:t>
                  </w:r>
                </w:p>
              </w:tc>
              <w:tc>
                <w:tcPr>
                  <w:tcW w:w="1134" w:type="dxa"/>
                </w:tcPr>
                <w:p w:rsidR="00904CC8" w:rsidRPr="00275068" w:rsidRDefault="00904CC8" w:rsidP="00E37B0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</w:rPr>
                    <w:t>62.38%</w:t>
                  </w:r>
                </w:p>
              </w:tc>
              <w:tc>
                <w:tcPr>
                  <w:tcW w:w="1134" w:type="dxa"/>
                </w:tcPr>
                <w:p w:rsidR="00904CC8" w:rsidRPr="00275068" w:rsidRDefault="00904CC8" w:rsidP="00E37B0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>77.62%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04CC8" w:rsidRPr="00275068" w:rsidRDefault="00904CC8" w:rsidP="00E37B0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94.87</w:t>
                  </w:r>
                  <w:r w:rsidRPr="0027506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4CC8" w:rsidRPr="00275068" w:rsidRDefault="00904CC8" w:rsidP="00E37B0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</w:rPr>
                    <w:t>50.80</w:t>
                  </w:r>
                </w:p>
              </w:tc>
              <w:tc>
                <w:tcPr>
                  <w:tcW w:w="1010" w:type="dxa"/>
                  <w:tcBorders>
                    <w:left w:val="single" w:sz="4" w:space="0" w:color="auto"/>
                  </w:tcBorders>
                </w:tcPr>
                <w:p w:rsidR="00904CC8" w:rsidRPr="00275068" w:rsidRDefault="00E37B09" w:rsidP="00E37B0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76.28</w:t>
                  </w:r>
                </w:p>
              </w:tc>
            </w:tr>
            <w:tr w:rsidR="00904CC8" w:rsidRPr="00275068" w:rsidTr="00D87E30">
              <w:trPr>
                <w:trHeight w:val="624"/>
                <w:jc w:val="center"/>
              </w:trPr>
              <w:tc>
                <w:tcPr>
                  <w:tcW w:w="3971" w:type="dxa"/>
                </w:tcPr>
                <w:p w:rsidR="00904CC8" w:rsidRPr="00275068" w:rsidRDefault="00904CC8" w:rsidP="00AF215F">
                  <w:pPr>
                    <w:spacing w:before="0"/>
                    <w:rPr>
                      <w:sz w:val="28"/>
                      <w:szCs w:val="28"/>
                    </w:rPr>
                  </w:pPr>
                  <w:r w:rsidRPr="00275068">
                    <w:rPr>
                      <w:sz w:val="28"/>
                      <w:szCs w:val="28"/>
                      <w:cs/>
                    </w:rPr>
                    <w:t xml:space="preserve">อัตราการเกิด </w:t>
                  </w:r>
                  <w:r w:rsidRPr="00275068">
                    <w:rPr>
                      <w:sz w:val="28"/>
                      <w:szCs w:val="28"/>
                    </w:rPr>
                    <w:t>Exacerbation</w:t>
                  </w:r>
                  <w:r w:rsidRPr="00275068">
                    <w:rPr>
                      <w:sz w:val="28"/>
                      <w:szCs w:val="28"/>
                      <w:cs/>
                    </w:rPr>
                    <w:t xml:space="preserve"> ในผู้ป่วย </w:t>
                  </w:r>
                  <w:r w:rsidRPr="00275068">
                    <w:rPr>
                      <w:sz w:val="28"/>
                      <w:szCs w:val="28"/>
                    </w:rPr>
                    <w:t xml:space="preserve">COPD </w:t>
                  </w:r>
                </w:p>
              </w:tc>
              <w:tc>
                <w:tcPr>
                  <w:tcW w:w="1134" w:type="dxa"/>
                </w:tcPr>
                <w:p w:rsidR="00904CC8" w:rsidRPr="00275068" w:rsidRDefault="00904CC8" w:rsidP="00E37B0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>32%</w:t>
                  </w:r>
                </w:p>
              </w:tc>
              <w:tc>
                <w:tcPr>
                  <w:tcW w:w="1134" w:type="dxa"/>
                </w:tcPr>
                <w:p w:rsidR="00904CC8" w:rsidRPr="00275068" w:rsidRDefault="00904CC8" w:rsidP="00E37B09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275068">
                    <w:rPr>
                      <w:sz w:val="28"/>
                      <w:szCs w:val="28"/>
                    </w:rPr>
                    <w:t>28.66%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04CC8" w:rsidRPr="00275068" w:rsidRDefault="00904CC8" w:rsidP="00E37B0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12.53</w:t>
                  </w:r>
                  <w:r w:rsidRPr="0027506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4CC8" w:rsidRPr="00275068" w:rsidRDefault="00904CC8" w:rsidP="00E37B0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275068">
                    <w:rPr>
                      <w:rFonts w:hint="cs"/>
                      <w:sz w:val="28"/>
                      <w:szCs w:val="28"/>
                      <w:cs/>
                    </w:rPr>
                    <w:t>7.43</w:t>
                  </w:r>
                  <w:r w:rsidRPr="00275068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010" w:type="dxa"/>
                  <w:tcBorders>
                    <w:left w:val="single" w:sz="4" w:space="0" w:color="auto"/>
                  </w:tcBorders>
                </w:tcPr>
                <w:p w:rsidR="00904CC8" w:rsidRPr="00275068" w:rsidRDefault="00E37B09" w:rsidP="00E37B09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2.20</w:t>
                  </w:r>
                </w:p>
              </w:tc>
            </w:tr>
          </w:tbl>
          <w:p w:rsidR="006827C3" w:rsidRPr="00EA6BAB" w:rsidRDefault="006827C3" w:rsidP="00AF215F">
            <w:pPr>
              <w:spacing w:before="0"/>
              <w:rPr>
                <w:sz w:val="14"/>
                <w:szCs w:val="14"/>
              </w:rPr>
            </w:pPr>
          </w:p>
          <w:p w:rsidR="006827C3" w:rsidRPr="008B3309" w:rsidRDefault="006827C3" w:rsidP="00AF215F">
            <w:pPr>
              <w:spacing w:before="0"/>
              <w:rPr>
                <w:sz w:val="18"/>
                <w:szCs w:val="18"/>
                <w:cs/>
              </w:rPr>
            </w:pPr>
          </w:p>
        </w:tc>
      </w:tr>
      <w:tr w:rsidR="006827C3" w:rsidRPr="00275068" w:rsidTr="00D35F5A">
        <w:trPr>
          <w:trHeight w:val="357"/>
        </w:trPr>
        <w:tc>
          <w:tcPr>
            <w:tcW w:w="2660" w:type="dxa"/>
          </w:tcPr>
          <w:p w:rsidR="006827C3" w:rsidRPr="00EA6BAB" w:rsidRDefault="006827C3" w:rsidP="00AF215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6BAB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559" w:type="dxa"/>
            <w:gridSpan w:val="2"/>
          </w:tcPr>
          <w:p w:rsidR="006827C3" w:rsidRPr="00EA6BAB" w:rsidRDefault="006827C3" w:rsidP="00AF215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6BAB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794" w:type="dxa"/>
            <w:gridSpan w:val="6"/>
          </w:tcPr>
          <w:p w:rsidR="006827C3" w:rsidRPr="00EA6BAB" w:rsidRDefault="006827C3" w:rsidP="00AF215F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EA6BAB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EA6BAB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EA6BAB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6827C3" w:rsidRPr="00275068" w:rsidTr="00D35F5A">
        <w:trPr>
          <w:trHeight w:val="2545"/>
        </w:trPr>
        <w:tc>
          <w:tcPr>
            <w:tcW w:w="2660" w:type="dxa"/>
          </w:tcPr>
          <w:p w:rsidR="006827C3" w:rsidRPr="00275068" w:rsidRDefault="006827C3" w:rsidP="006827C3">
            <w:pPr>
              <w:numPr>
                <w:ilvl w:val="0"/>
                <w:numId w:val="10"/>
              </w:numPr>
              <w:spacing w:before="0"/>
              <w:rPr>
                <w:sz w:val="28"/>
                <w:szCs w:val="28"/>
                <w:cs/>
              </w:rPr>
            </w:pPr>
            <w:r w:rsidRPr="00275068">
              <w:rPr>
                <w:sz w:val="28"/>
                <w:szCs w:val="28"/>
                <w:cs/>
              </w:rPr>
              <w:t>กระบวนการจัดทำกลยุทธ์และการวิเคราะห์ข้อมูล</w:t>
            </w:r>
          </w:p>
        </w:tc>
        <w:tc>
          <w:tcPr>
            <w:tcW w:w="1559" w:type="dxa"/>
            <w:gridSpan w:val="2"/>
          </w:tcPr>
          <w:p w:rsidR="006827C3" w:rsidRPr="00275068" w:rsidRDefault="006827C3" w:rsidP="00AF215F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75068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794" w:type="dxa"/>
            <w:gridSpan w:val="6"/>
          </w:tcPr>
          <w:p w:rsidR="006827C3" w:rsidRPr="00275068" w:rsidRDefault="006827C3" w:rsidP="006827C3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 xml:space="preserve">ทบทวนกระบวนการจัดทำแผนกลยุทธ์ของโรงพยาบาล โดยการใช้มุมมอง </w:t>
            </w:r>
            <w:r w:rsidRPr="00275068">
              <w:rPr>
                <w:sz w:val="28"/>
                <w:szCs w:val="28"/>
              </w:rPr>
              <w:t xml:space="preserve">Balance Score card </w:t>
            </w:r>
            <w:r w:rsidRPr="00275068">
              <w:rPr>
                <w:sz w:val="28"/>
                <w:szCs w:val="28"/>
                <w:cs/>
              </w:rPr>
              <w:t>เพื่อวิเคราะห์ปัจจัยต่างๆ</w:t>
            </w:r>
            <w:r w:rsidRPr="0027506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75068">
              <w:rPr>
                <w:sz w:val="28"/>
                <w:szCs w:val="28"/>
                <w:cs/>
              </w:rPr>
              <w:t>ให้ครอบคลุมมากขึ้น นำไปสู่การปรับแผนกลยุทธ์</w:t>
            </w:r>
          </w:p>
          <w:p w:rsidR="006827C3" w:rsidRPr="00275068" w:rsidRDefault="006827C3" w:rsidP="006827C3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จัดระบบการประเมินติดตามความก้าวหน้าของการดำเนินงานตามแผนกลยุทธ์อย่างเป็นระบบ</w:t>
            </w:r>
          </w:p>
          <w:p w:rsidR="006827C3" w:rsidRPr="00275068" w:rsidRDefault="006827C3" w:rsidP="006827C3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75068">
              <w:rPr>
                <w:rFonts w:hint="cs"/>
                <w:sz w:val="28"/>
                <w:szCs w:val="28"/>
                <w:cs/>
              </w:rPr>
              <w:t>การวิเคราะห์ข้อมูลสำคัญและนำผลการวิเคราะห์มาใช้ประโยชน์ในการวางแผน</w:t>
            </w:r>
            <w:r w:rsidRPr="00275068">
              <w:rPr>
                <w:sz w:val="28"/>
                <w:szCs w:val="28"/>
              </w:rPr>
              <w:t xml:space="preserve"> </w:t>
            </w:r>
          </w:p>
        </w:tc>
      </w:tr>
      <w:tr w:rsidR="006827C3" w:rsidRPr="00275068" w:rsidTr="00D35F5A">
        <w:trPr>
          <w:trHeight w:val="1027"/>
        </w:trPr>
        <w:tc>
          <w:tcPr>
            <w:tcW w:w="2660" w:type="dxa"/>
          </w:tcPr>
          <w:p w:rsidR="006827C3" w:rsidRPr="00275068" w:rsidRDefault="006827C3" w:rsidP="006827C3">
            <w:pPr>
              <w:numPr>
                <w:ilvl w:val="0"/>
                <w:numId w:val="10"/>
              </w:numPr>
              <w:spacing w:before="0"/>
              <w:rPr>
                <w:sz w:val="28"/>
                <w:szCs w:val="28"/>
                <w:cs/>
              </w:rPr>
            </w:pPr>
            <w:r w:rsidRPr="00275068">
              <w:rPr>
                <w:sz w:val="28"/>
                <w:szCs w:val="28"/>
                <w:cs/>
              </w:rPr>
              <w:t xml:space="preserve">วัตถุประสงค์เชิงกลยุทธ์ที่ตอบสนองความท้าทายและครอบคลุม </w:t>
            </w:r>
            <w:r w:rsidRPr="00275068">
              <w:rPr>
                <w:sz w:val="28"/>
                <w:szCs w:val="28"/>
              </w:rPr>
              <w:t>HP</w:t>
            </w:r>
          </w:p>
        </w:tc>
        <w:tc>
          <w:tcPr>
            <w:tcW w:w="1559" w:type="dxa"/>
            <w:gridSpan w:val="2"/>
          </w:tcPr>
          <w:p w:rsidR="006827C3" w:rsidRPr="00275068" w:rsidRDefault="006827C3" w:rsidP="00AF215F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75068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794" w:type="dxa"/>
            <w:gridSpan w:val="6"/>
          </w:tcPr>
          <w:p w:rsidR="006827C3" w:rsidRPr="00275068" w:rsidRDefault="006827C3" w:rsidP="006827C3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ทบทวนการบรรลุวัตถุประสงค์เชิงกลยุทธ์และกำหนดเป้าหมายให้ท้าทายเพิ่มขึ้น</w:t>
            </w:r>
          </w:p>
        </w:tc>
      </w:tr>
      <w:tr w:rsidR="006827C3" w:rsidRPr="00275068" w:rsidTr="00D35F5A">
        <w:trPr>
          <w:trHeight w:val="1072"/>
        </w:trPr>
        <w:tc>
          <w:tcPr>
            <w:tcW w:w="2660" w:type="dxa"/>
          </w:tcPr>
          <w:p w:rsidR="006827C3" w:rsidRPr="00275068" w:rsidRDefault="006827C3" w:rsidP="006827C3">
            <w:pPr>
              <w:numPr>
                <w:ilvl w:val="0"/>
                <w:numId w:val="10"/>
              </w:numPr>
              <w:spacing w:before="0"/>
              <w:rPr>
                <w:sz w:val="28"/>
                <w:szCs w:val="28"/>
                <w:cs/>
              </w:rPr>
            </w:pPr>
            <w:r w:rsidRPr="00275068">
              <w:rPr>
                <w:sz w:val="28"/>
                <w:szCs w:val="28"/>
                <w:cs/>
              </w:rPr>
              <w:t>การถ่ายทอดกลยุทธ์สู่การปฏิบัติ</w:t>
            </w:r>
          </w:p>
        </w:tc>
        <w:tc>
          <w:tcPr>
            <w:tcW w:w="1559" w:type="dxa"/>
            <w:gridSpan w:val="2"/>
          </w:tcPr>
          <w:p w:rsidR="006827C3" w:rsidRPr="00275068" w:rsidRDefault="006827C3" w:rsidP="00AF215F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75068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794" w:type="dxa"/>
            <w:gridSpan w:val="6"/>
          </w:tcPr>
          <w:p w:rsidR="006827C3" w:rsidRPr="00275068" w:rsidRDefault="006827C3" w:rsidP="006827C3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ประเมินการปรับปรุงกระบวนการถ่ายทอดแผนกลยุทธ์ โดยเพิ่มช่องทางการถ่ายทอดโดยใช้เทคโนโลยีสารสนเทศในการถ่ายทอดแผนกลยุทธ์สู่การปฏิบัติ</w:t>
            </w:r>
          </w:p>
        </w:tc>
      </w:tr>
      <w:tr w:rsidR="006827C3" w:rsidRPr="00275068" w:rsidTr="00D35F5A">
        <w:trPr>
          <w:trHeight w:val="402"/>
        </w:trPr>
        <w:tc>
          <w:tcPr>
            <w:tcW w:w="2660" w:type="dxa"/>
          </w:tcPr>
          <w:p w:rsidR="006827C3" w:rsidRPr="00275068" w:rsidRDefault="006827C3" w:rsidP="006827C3">
            <w:pPr>
              <w:numPr>
                <w:ilvl w:val="0"/>
                <w:numId w:val="10"/>
              </w:numPr>
              <w:spacing w:before="0"/>
              <w:rPr>
                <w:sz w:val="28"/>
                <w:szCs w:val="28"/>
                <w:cs/>
              </w:rPr>
            </w:pPr>
            <w:r w:rsidRPr="00275068">
              <w:rPr>
                <w:sz w:val="28"/>
                <w:szCs w:val="28"/>
                <w:cs/>
              </w:rPr>
              <w:t>การวางแผนและจัดสรรทรัพยากร</w:t>
            </w:r>
          </w:p>
        </w:tc>
        <w:tc>
          <w:tcPr>
            <w:tcW w:w="1559" w:type="dxa"/>
            <w:gridSpan w:val="2"/>
          </w:tcPr>
          <w:p w:rsidR="006827C3" w:rsidRPr="00275068" w:rsidRDefault="006827C3" w:rsidP="00AF215F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75068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794" w:type="dxa"/>
            <w:gridSpan w:val="6"/>
          </w:tcPr>
          <w:p w:rsidR="006827C3" w:rsidRPr="00275068" w:rsidRDefault="006827C3" w:rsidP="006827C3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ประเมินและติดตามกำกับการบริหารทรัพยากรและปรับปรุงการใช้ทรัพยากรให้เพียงพอและเหมาะสม</w:t>
            </w:r>
          </w:p>
        </w:tc>
      </w:tr>
      <w:tr w:rsidR="006827C3" w:rsidRPr="00275068" w:rsidTr="00D35F5A">
        <w:trPr>
          <w:trHeight w:val="744"/>
        </w:trPr>
        <w:tc>
          <w:tcPr>
            <w:tcW w:w="2660" w:type="dxa"/>
          </w:tcPr>
          <w:p w:rsidR="006827C3" w:rsidRPr="00275068" w:rsidRDefault="006827C3" w:rsidP="006827C3">
            <w:pPr>
              <w:numPr>
                <w:ilvl w:val="0"/>
                <w:numId w:val="10"/>
              </w:numPr>
              <w:spacing w:before="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การคาดการณ์ การวัดผล และติดตามความก้าวหน้า</w:t>
            </w:r>
          </w:p>
        </w:tc>
        <w:tc>
          <w:tcPr>
            <w:tcW w:w="1559" w:type="dxa"/>
            <w:gridSpan w:val="2"/>
          </w:tcPr>
          <w:p w:rsidR="006827C3" w:rsidRPr="00275068" w:rsidRDefault="006827C3" w:rsidP="00AF215F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275068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5794" w:type="dxa"/>
            <w:gridSpan w:val="6"/>
          </w:tcPr>
          <w:p w:rsidR="006827C3" w:rsidRPr="00275068" w:rsidRDefault="006827C3" w:rsidP="006827C3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275068">
              <w:rPr>
                <w:sz w:val="28"/>
                <w:szCs w:val="28"/>
                <w:cs/>
              </w:rPr>
              <w:t>กำหนดข้อมูลที่จะนำมาเทียบเคียงเพื่อเปรียบเทียบผลการดำเนินงานในด้านที่สำคัญ</w:t>
            </w:r>
          </w:p>
        </w:tc>
      </w:tr>
    </w:tbl>
    <w:p w:rsidR="006827C3" w:rsidRPr="00275068" w:rsidRDefault="006827C3" w:rsidP="006827C3">
      <w:pPr>
        <w:spacing w:before="0"/>
        <w:rPr>
          <w:b/>
          <w:bCs/>
        </w:rPr>
      </w:pPr>
    </w:p>
    <w:p w:rsidR="006827C3" w:rsidRPr="00275068" w:rsidRDefault="006827C3" w:rsidP="006827C3">
      <w:pPr>
        <w:spacing w:before="0"/>
        <w:rPr>
          <w:b/>
          <w:bCs/>
        </w:rPr>
      </w:pPr>
    </w:p>
    <w:p w:rsidR="006827C3" w:rsidRPr="00275068" w:rsidRDefault="006827C3" w:rsidP="006827C3"/>
    <w:p w:rsidR="00EF700A" w:rsidRPr="00E94FB6" w:rsidRDefault="00EF700A" w:rsidP="00E94FB6"/>
    <w:sectPr w:rsidR="00EF700A" w:rsidRPr="00E94FB6" w:rsidSect="004A305E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D9" w:rsidRDefault="00430ED9" w:rsidP="00D81B3C">
      <w:pPr>
        <w:spacing w:before="0"/>
      </w:pPr>
      <w:r>
        <w:separator/>
      </w:r>
    </w:p>
  </w:endnote>
  <w:endnote w:type="continuationSeparator" w:id="1">
    <w:p w:rsidR="00430ED9" w:rsidRDefault="00430ED9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4B6440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4B6440" w:rsidRPr="00492240">
      <w:rPr>
        <w:rFonts w:cs="Browallia New"/>
        <w:sz w:val="24"/>
        <w:szCs w:val="24"/>
      </w:rPr>
      <w:fldChar w:fldCharType="separate"/>
    </w:r>
    <w:r w:rsidR="00C65C94">
      <w:rPr>
        <w:rFonts w:cs="Browallia New"/>
        <w:noProof/>
        <w:sz w:val="24"/>
        <w:szCs w:val="24"/>
      </w:rPr>
      <w:t>12</w:t>
    </w:r>
    <w:r w:rsidR="004B6440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D9" w:rsidRDefault="00430ED9" w:rsidP="00D81B3C">
      <w:pPr>
        <w:spacing w:before="0"/>
      </w:pPr>
      <w:r>
        <w:separator/>
      </w:r>
    </w:p>
  </w:footnote>
  <w:footnote w:type="continuationSeparator" w:id="1">
    <w:p w:rsidR="00430ED9" w:rsidRDefault="00430ED9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C62B9C"/>
    <w:multiLevelType w:val="hybridMultilevel"/>
    <w:tmpl w:val="D62021B0"/>
    <w:lvl w:ilvl="0" w:tplc="F446A4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E0D4AA8"/>
    <w:multiLevelType w:val="hybridMultilevel"/>
    <w:tmpl w:val="AEF2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9448CD"/>
    <w:multiLevelType w:val="hybridMultilevel"/>
    <w:tmpl w:val="A59AB560"/>
    <w:lvl w:ilvl="0" w:tplc="B9546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56653"/>
    <w:multiLevelType w:val="hybridMultilevel"/>
    <w:tmpl w:val="905A4F34"/>
    <w:lvl w:ilvl="0" w:tplc="AFB08A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6265618"/>
    <w:multiLevelType w:val="hybridMultilevel"/>
    <w:tmpl w:val="6644B51E"/>
    <w:lvl w:ilvl="0" w:tplc="C136E292">
      <w:start w:val="4"/>
      <w:numFmt w:val="bullet"/>
      <w:lvlText w:val="-"/>
      <w:lvlJc w:val="left"/>
      <w:pPr>
        <w:ind w:left="785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9263BE"/>
    <w:multiLevelType w:val="hybridMultilevel"/>
    <w:tmpl w:val="95F8E24E"/>
    <w:lvl w:ilvl="0" w:tplc="06BA83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12B8E"/>
    <w:multiLevelType w:val="hybridMultilevel"/>
    <w:tmpl w:val="A3E8AC86"/>
    <w:lvl w:ilvl="0" w:tplc="3D0EC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CE97D30"/>
    <w:multiLevelType w:val="hybridMultilevel"/>
    <w:tmpl w:val="C8A646FE"/>
    <w:lvl w:ilvl="0" w:tplc="0BDC4E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5"/>
  </w:num>
  <w:num w:numId="5">
    <w:abstractNumId w:val="32"/>
  </w:num>
  <w:num w:numId="6">
    <w:abstractNumId w:val="41"/>
  </w:num>
  <w:num w:numId="7">
    <w:abstractNumId w:val="39"/>
  </w:num>
  <w:num w:numId="8">
    <w:abstractNumId w:val="15"/>
  </w:num>
  <w:num w:numId="9">
    <w:abstractNumId w:val="36"/>
  </w:num>
  <w:num w:numId="10">
    <w:abstractNumId w:val="40"/>
  </w:num>
  <w:num w:numId="11">
    <w:abstractNumId w:val="22"/>
  </w:num>
  <w:num w:numId="12">
    <w:abstractNumId w:val="7"/>
  </w:num>
  <w:num w:numId="13">
    <w:abstractNumId w:val="0"/>
  </w:num>
  <w:num w:numId="14">
    <w:abstractNumId w:val="23"/>
  </w:num>
  <w:num w:numId="15">
    <w:abstractNumId w:val="9"/>
  </w:num>
  <w:num w:numId="16">
    <w:abstractNumId w:val="10"/>
  </w:num>
  <w:num w:numId="17">
    <w:abstractNumId w:val="21"/>
  </w:num>
  <w:num w:numId="18">
    <w:abstractNumId w:val="2"/>
  </w:num>
  <w:num w:numId="19">
    <w:abstractNumId w:val="35"/>
  </w:num>
  <w:num w:numId="20">
    <w:abstractNumId w:val="19"/>
  </w:num>
  <w:num w:numId="21">
    <w:abstractNumId w:val="14"/>
  </w:num>
  <w:num w:numId="22">
    <w:abstractNumId w:val="20"/>
  </w:num>
  <w:num w:numId="23">
    <w:abstractNumId w:val="8"/>
  </w:num>
  <w:num w:numId="24">
    <w:abstractNumId w:val="12"/>
  </w:num>
  <w:num w:numId="25">
    <w:abstractNumId w:val="33"/>
  </w:num>
  <w:num w:numId="26">
    <w:abstractNumId w:val="17"/>
  </w:num>
  <w:num w:numId="27">
    <w:abstractNumId w:val="31"/>
  </w:num>
  <w:num w:numId="28">
    <w:abstractNumId w:val="16"/>
  </w:num>
  <w:num w:numId="29">
    <w:abstractNumId w:val="18"/>
  </w:num>
  <w:num w:numId="30">
    <w:abstractNumId w:val="34"/>
  </w:num>
  <w:num w:numId="31">
    <w:abstractNumId w:val="1"/>
  </w:num>
  <w:num w:numId="32">
    <w:abstractNumId w:val="24"/>
  </w:num>
  <w:num w:numId="33">
    <w:abstractNumId w:val="11"/>
  </w:num>
  <w:num w:numId="34">
    <w:abstractNumId w:val="29"/>
  </w:num>
  <w:num w:numId="35">
    <w:abstractNumId w:val="30"/>
  </w:num>
  <w:num w:numId="36">
    <w:abstractNumId w:val="3"/>
  </w:num>
  <w:num w:numId="37">
    <w:abstractNumId w:val="28"/>
  </w:num>
  <w:num w:numId="38">
    <w:abstractNumId w:val="25"/>
  </w:num>
  <w:num w:numId="39">
    <w:abstractNumId w:val="27"/>
  </w:num>
  <w:num w:numId="40">
    <w:abstractNumId w:val="4"/>
  </w:num>
  <w:num w:numId="41">
    <w:abstractNumId w:val="26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B0FC2"/>
    <w:rsid w:val="000B40C5"/>
    <w:rsid w:val="000C191D"/>
    <w:rsid w:val="000F6F62"/>
    <w:rsid w:val="00114F59"/>
    <w:rsid w:val="00121DDD"/>
    <w:rsid w:val="001279B0"/>
    <w:rsid w:val="001431E6"/>
    <w:rsid w:val="00152037"/>
    <w:rsid w:val="00170745"/>
    <w:rsid w:val="001747BE"/>
    <w:rsid w:val="00176528"/>
    <w:rsid w:val="0017666E"/>
    <w:rsid w:val="00195ACA"/>
    <w:rsid w:val="001B58C3"/>
    <w:rsid w:val="001C45B2"/>
    <w:rsid w:val="00205E70"/>
    <w:rsid w:val="00216B2C"/>
    <w:rsid w:val="00241E30"/>
    <w:rsid w:val="002427E5"/>
    <w:rsid w:val="002510AA"/>
    <w:rsid w:val="00252D4F"/>
    <w:rsid w:val="0025303E"/>
    <w:rsid w:val="002948A5"/>
    <w:rsid w:val="002B12A0"/>
    <w:rsid w:val="002B55E0"/>
    <w:rsid w:val="002C7E25"/>
    <w:rsid w:val="002D127C"/>
    <w:rsid w:val="002D2550"/>
    <w:rsid w:val="002E4A18"/>
    <w:rsid w:val="002E7547"/>
    <w:rsid w:val="002F7309"/>
    <w:rsid w:val="00304E83"/>
    <w:rsid w:val="00310E3F"/>
    <w:rsid w:val="00322901"/>
    <w:rsid w:val="00394730"/>
    <w:rsid w:val="00394753"/>
    <w:rsid w:val="003B6B8D"/>
    <w:rsid w:val="003B74DA"/>
    <w:rsid w:val="003D1560"/>
    <w:rsid w:val="003D1B9A"/>
    <w:rsid w:val="003D420A"/>
    <w:rsid w:val="003E297A"/>
    <w:rsid w:val="003E7B8E"/>
    <w:rsid w:val="003F2149"/>
    <w:rsid w:val="0042443E"/>
    <w:rsid w:val="004244CF"/>
    <w:rsid w:val="00430421"/>
    <w:rsid w:val="00430ED9"/>
    <w:rsid w:val="00434C2A"/>
    <w:rsid w:val="00434EE5"/>
    <w:rsid w:val="00487916"/>
    <w:rsid w:val="00492240"/>
    <w:rsid w:val="004A305E"/>
    <w:rsid w:val="004A39B0"/>
    <w:rsid w:val="004A4BCD"/>
    <w:rsid w:val="004B6440"/>
    <w:rsid w:val="004F7E64"/>
    <w:rsid w:val="005079CC"/>
    <w:rsid w:val="0051451E"/>
    <w:rsid w:val="005441CC"/>
    <w:rsid w:val="00564DB5"/>
    <w:rsid w:val="00570B17"/>
    <w:rsid w:val="005717B7"/>
    <w:rsid w:val="00586182"/>
    <w:rsid w:val="00594288"/>
    <w:rsid w:val="005B77D9"/>
    <w:rsid w:val="005D72C4"/>
    <w:rsid w:val="0060162A"/>
    <w:rsid w:val="006016F6"/>
    <w:rsid w:val="00604029"/>
    <w:rsid w:val="0061658F"/>
    <w:rsid w:val="00643733"/>
    <w:rsid w:val="00644892"/>
    <w:rsid w:val="00645A96"/>
    <w:rsid w:val="00646A5A"/>
    <w:rsid w:val="00651197"/>
    <w:rsid w:val="006524FE"/>
    <w:rsid w:val="00655295"/>
    <w:rsid w:val="00660C88"/>
    <w:rsid w:val="00662852"/>
    <w:rsid w:val="00673DFA"/>
    <w:rsid w:val="006827C3"/>
    <w:rsid w:val="006C09AB"/>
    <w:rsid w:val="006E10FD"/>
    <w:rsid w:val="006E7C65"/>
    <w:rsid w:val="006F124C"/>
    <w:rsid w:val="007177AB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588C"/>
    <w:rsid w:val="007E67E8"/>
    <w:rsid w:val="007E6F6A"/>
    <w:rsid w:val="007F7787"/>
    <w:rsid w:val="00800E0A"/>
    <w:rsid w:val="008306EF"/>
    <w:rsid w:val="0084267C"/>
    <w:rsid w:val="00842FA7"/>
    <w:rsid w:val="008653B6"/>
    <w:rsid w:val="008841B6"/>
    <w:rsid w:val="008954B0"/>
    <w:rsid w:val="008A7DC0"/>
    <w:rsid w:val="008B3309"/>
    <w:rsid w:val="008B391C"/>
    <w:rsid w:val="00900B87"/>
    <w:rsid w:val="00904CC8"/>
    <w:rsid w:val="00904E09"/>
    <w:rsid w:val="00911E00"/>
    <w:rsid w:val="00932773"/>
    <w:rsid w:val="00945004"/>
    <w:rsid w:val="00964BDC"/>
    <w:rsid w:val="0097009D"/>
    <w:rsid w:val="00983FBB"/>
    <w:rsid w:val="009A0D44"/>
    <w:rsid w:val="009A1B27"/>
    <w:rsid w:val="009E5F51"/>
    <w:rsid w:val="00A20484"/>
    <w:rsid w:val="00A26206"/>
    <w:rsid w:val="00A47BCF"/>
    <w:rsid w:val="00A57304"/>
    <w:rsid w:val="00A61F15"/>
    <w:rsid w:val="00A67DB7"/>
    <w:rsid w:val="00A84340"/>
    <w:rsid w:val="00A84A3F"/>
    <w:rsid w:val="00A91389"/>
    <w:rsid w:val="00AA15CC"/>
    <w:rsid w:val="00AA31D5"/>
    <w:rsid w:val="00AA723E"/>
    <w:rsid w:val="00AB0B9A"/>
    <w:rsid w:val="00AE0138"/>
    <w:rsid w:val="00AE2971"/>
    <w:rsid w:val="00B01618"/>
    <w:rsid w:val="00B056DA"/>
    <w:rsid w:val="00B10011"/>
    <w:rsid w:val="00B141B6"/>
    <w:rsid w:val="00B15328"/>
    <w:rsid w:val="00B30C54"/>
    <w:rsid w:val="00B67D80"/>
    <w:rsid w:val="00B713F4"/>
    <w:rsid w:val="00B848EB"/>
    <w:rsid w:val="00BC5C72"/>
    <w:rsid w:val="00BE29F6"/>
    <w:rsid w:val="00BF17B1"/>
    <w:rsid w:val="00C02D9A"/>
    <w:rsid w:val="00C171EA"/>
    <w:rsid w:val="00C20DBD"/>
    <w:rsid w:val="00C43834"/>
    <w:rsid w:val="00C61B4D"/>
    <w:rsid w:val="00C65C94"/>
    <w:rsid w:val="00C763CE"/>
    <w:rsid w:val="00C801B2"/>
    <w:rsid w:val="00CA7F8F"/>
    <w:rsid w:val="00CC1298"/>
    <w:rsid w:val="00CD7B1A"/>
    <w:rsid w:val="00CE3153"/>
    <w:rsid w:val="00CE716E"/>
    <w:rsid w:val="00D031B4"/>
    <w:rsid w:val="00D06A8B"/>
    <w:rsid w:val="00D15187"/>
    <w:rsid w:val="00D30DCE"/>
    <w:rsid w:val="00D35F5A"/>
    <w:rsid w:val="00D420F4"/>
    <w:rsid w:val="00D50AA9"/>
    <w:rsid w:val="00D67790"/>
    <w:rsid w:val="00D71122"/>
    <w:rsid w:val="00D75E9C"/>
    <w:rsid w:val="00D77898"/>
    <w:rsid w:val="00D81B3C"/>
    <w:rsid w:val="00D87E30"/>
    <w:rsid w:val="00DC194A"/>
    <w:rsid w:val="00DC41AE"/>
    <w:rsid w:val="00DC73F5"/>
    <w:rsid w:val="00DF2C3E"/>
    <w:rsid w:val="00E042C1"/>
    <w:rsid w:val="00E37B09"/>
    <w:rsid w:val="00E41B3A"/>
    <w:rsid w:val="00E51A7F"/>
    <w:rsid w:val="00E55A00"/>
    <w:rsid w:val="00E7340F"/>
    <w:rsid w:val="00E7414E"/>
    <w:rsid w:val="00E820AE"/>
    <w:rsid w:val="00E8331F"/>
    <w:rsid w:val="00E9000D"/>
    <w:rsid w:val="00E94FB6"/>
    <w:rsid w:val="00E959D6"/>
    <w:rsid w:val="00E97540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21C0C"/>
    <w:rsid w:val="00F24696"/>
    <w:rsid w:val="00F42686"/>
    <w:rsid w:val="00F523D5"/>
    <w:rsid w:val="00F81F9F"/>
    <w:rsid w:val="00F871A7"/>
    <w:rsid w:val="00FA4342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15</cp:revision>
  <cp:lastPrinted>2017-09-26T04:10:00Z</cp:lastPrinted>
  <dcterms:created xsi:type="dcterms:W3CDTF">2017-09-21T12:20:00Z</dcterms:created>
  <dcterms:modified xsi:type="dcterms:W3CDTF">2018-05-15T07:25:00Z</dcterms:modified>
</cp:coreProperties>
</file>